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C0819">
      <w:pPr>
        <w:jc w:val="both"/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</w:t>
      </w:r>
    </w:p>
    <w:p w14:paraId="4E78F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2027年度电工外包服务需求清单</w:t>
      </w:r>
    </w:p>
    <w:p w14:paraId="31577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11" w:lineRule="exact"/>
        <w:ind w:firstLine="0"/>
        <w:jc w:val="both"/>
        <w:textAlignment w:val="auto"/>
        <w:rPr>
          <w:rFonts w:hint="eastAsia" w:ascii="宋体" w:hAnsi="宋体" w:eastAsia="宋体"/>
          <w:color w:val="000000"/>
          <w:sz w:val="24"/>
        </w:rPr>
      </w:pPr>
    </w:p>
    <w:p w14:paraId="5C56C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8" w:lineRule="exact"/>
        <w:ind w:firstLine="0"/>
        <w:jc w:val="both"/>
        <w:textAlignment w:val="auto"/>
        <w:rPr>
          <w:rFonts w:hint="eastAsia" w:ascii="宋体" w:hAnsi="宋体" w:eastAsia="宋体"/>
          <w:color w:val="000000"/>
          <w:sz w:val="22"/>
        </w:rPr>
      </w:pPr>
    </w:p>
    <w:tbl>
      <w:tblPr>
        <w:tblStyle w:val="6"/>
        <w:tblW w:w="0" w:type="auto"/>
        <w:tblInd w:w="1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2"/>
        <w:gridCol w:w="2786"/>
        <w:gridCol w:w="1337"/>
        <w:gridCol w:w="1318"/>
        <w:gridCol w:w="2306"/>
      </w:tblGrid>
      <w:tr w14:paraId="7582B6C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68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E3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479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数量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626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15E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金额（元）</w:t>
            </w:r>
          </w:p>
        </w:tc>
      </w:tr>
      <w:tr w14:paraId="22B4FE1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9C1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924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电工外包服务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1F2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569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年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0BE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381,540.00</w:t>
            </w:r>
          </w:p>
        </w:tc>
      </w:tr>
    </w:tbl>
    <w:p w14:paraId="24BCA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eastAsia" w:ascii="方正黑体简体" w:hAnsi="方正黑体简体" w:eastAsia="方正黑体简体" w:cs="方正黑体简体"/>
          <w:b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一、基本概况</w:t>
      </w:r>
    </w:p>
    <w:p w14:paraId="2CF37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为保障医院院区电力系统安全、稳定、合规运行，满足全院各科室、各部门电力保障需求，现通过市场询价方式选定专业服务供应商，承接本院住院部、门诊部、社区门诊、新区（综合业务大楼、传染病区）全域电力设备的日常运营管理、巡检维护、故障检修、应急处置及电工人员派驻管理等全部服务工作，全面保障医院供电系统24小时不间断安全运行。</w:t>
      </w:r>
    </w:p>
    <w:p w14:paraId="350EA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二、供应商通用服务资质与能力要求</w:t>
      </w:r>
    </w:p>
    <w:p w14:paraId="7DE23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供应商须具备合法合规的经营资质与成熟的运维服务体系，整体服务能力满足本医院运维高标准要求，具体如下：</w:t>
      </w:r>
    </w:p>
    <w:p w14:paraId="7F451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（一）合规经营要求：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遵守《中华人民共和国安全生产法》《电力安全工作规程》《中华人民共和国劳动合同法》等国家及行业法律法规、规章制度，服务态度规范、管理体系完善，无重大安全事故、劳务纠纷、行政处罚等不良信用记录。</w:t>
      </w:r>
    </w:p>
    <w:p w14:paraId="379EF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（二）硬件与信息化能力：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具备承接本电力运维所需的专业检测设备、维修工具、安全防护设施；搭建信息化管理体系，可实现人员考勤、设备巡检、故障报修、维保记录、台账归档等数字化管理，可定期向采购人提交运维数据报表。</w:t>
      </w:r>
    </w:p>
    <w:p w14:paraId="12DA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（三）人员保障能力：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具备规范化、标准化的人力招聘、审核、测评、岗前培训、职业指导体系，拥有稳定的电工劳务输出渠道，可保障人员足额在岗、人员更替无缝衔接，杜绝岗位空岗、脱岗问题。</w:t>
      </w:r>
    </w:p>
    <w:p w14:paraId="32371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（四）企业管理要求：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内部管理制度健全（安全管理制度、运维操作规程、人事管理制度、应急处置制度等），组织架构清晰，社会信誉良好，具备医院、事业单位同类电力运维服务经验者优先。</w:t>
      </w:r>
    </w:p>
    <w:p w14:paraId="31AB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eastAsia" w:ascii="方正黑体简体" w:hAnsi="方正黑体简体" w:eastAsia="方正黑体简体" w:cs="方正黑体简体"/>
          <w:b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三、派驻人员专属管理要求</w:t>
      </w:r>
    </w:p>
    <w:p w14:paraId="383EC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供应商成交后，全权负责本院所有派驻电工的人事管理、用工合规、日常管控、培训考核、纠纷处理等全部工作，采购人负责监督考核，具体要求如下：</w:t>
      </w:r>
    </w:p>
    <w:p w14:paraId="765B5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（一）人员入职管理：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所有派驻电工上岗前必须完成正规入职体检，体检合格、身体健康无职业禁忌症方可上岗；为保障服务平稳过渡，优先聘用上一周期在岗、熟悉本院院区设备情况的电工人员，人员更替需提前报备采购人审核。</w:t>
      </w:r>
    </w:p>
    <w:p w14:paraId="3133F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（二）档案与培训管理：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为每位派驻人员建立完整、规范的人事档案、岗位档案、安全作业档案，统一归集资质证书、体检报告、培训记录、考核记录等资料；定期组织岗位职责、电力安全操作、应急处置、医院规章制度等专项培训，每月不少于1次，留存完整培训台账。</w:t>
      </w:r>
    </w:p>
    <w:p w14:paraId="2A524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（三）考勤请销假管理：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建立完善的人员请销假、排班值守管理制度，严格落实24小时值守制度，人员调班、请假、替岗必须提前报采购人备案，杜绝擅自脱岗、空岗、顶岗不规范等问题，全力配合采购人日常考勤管理。</w:t>
      </w:r>
    </w:p>
    <w:p w14:paraId="6787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（四）薪酬发放管理：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依法与所有派驻电工签订正规劳动合同，完整办理全部劳动用工备案手续；严格按照采购人核准的薪酬标准，按时足额发放工资、绩效及各类补贴，无采购人书面正式通知，严禁无故克扣、拖欠、抵扣人员薪酬，薪酬发放记录全程留痕可查。</w:t>
      </w:r>
    </w:p>
    <w:p w14:paraId="6908C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（五）劳务纠纷处置：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全权负责合同期内所有派驻电工的用工管理、政策宣讲、答疑解惑，所有劳动纠纷、工伤事故、人员投诉等问题均由供应商全权处理、承担全部责任及相关费用，采购人不承担任何连带责任。</w:t>
      </w:r>
    </w:p>
    <w:p w14:paraId="36D8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（六）人员考核管理：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配合采购人制定贴合医院场景的电工岗位考核细则，日常常态化开展人员工作考核、纪律考核、安全考核，按月提交考核结果，根据考核结果落实奖惩、整改、人员更替等工作。</w:t>
      </w:r>
    </w:p>
    <w:p w14:paraId="54312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（七）兜底管理要求：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严格遵守采购人关于后勤保障、电力安全、院区管理、保密管理、安全生产等各项规章制度，无条件配合采购人各项临时管理要求。</w:t>
      </w:r>
    </w:p>
    <w:p w14:paraId="3BA70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四、班次值守与人员储备规划</w:t>
      </w:r>
    </w:p>
    <w:p w14:paraId="7B39A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供应商需制定科学、合规、可落地的轮岗值守制度，兼顾人员作业安全、休息权益及医院24小时不间断供电保障需求，具体排班标准固定如下：</w:t>
      </w:r>
    </w:p>
    <w:p w14:paraId="642B7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常规班次设置：实行全年365天24小时不间断值守制度，无节假日休班。早班：08:00-16:00，中班：16:00一次日24:00，晚班：00:00~08:00。固定2人在岗值守，其余人员机动轮休，保障人员劳逸结合、班次无缝衔接。</w:t>
      </w:r>
    </w:p>
    <w:p w14:paraId="11CCE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五、派驻电工人员硬性资质与岗位要求</w:t>
      </w:r>
    </w:p>
    <w:p w14:paraId="67652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本固定派驻在岗电工不得低于5名，所有人员必须满足以下硬性标准，上岗前资质全部提交采购人审核备案，审核不合格一律不得上岗：</w:t>
      </w:r>
    </w:p>
    <w:p w14:paraId="3CA11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（一）基础资质：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男性，年龄在国家法定退休年龄以内，无重大疾病、无职业禁忌症，身体健康、精力充沛；无违法犯罪记录、无失信记录、无不良嗜好，品行端正、服从管理，严格遵守国家法律法规及医院规章制度。</w:t>
      </w:r>
    </w:p>
    <w:p w14:paraId="55F41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（二）专业资质：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精通医院配电系统、机电设备、照明系统、智能电力设施的运维与故障维修；必须同时持有有效期内低压电工作业、高压电工作业双特种作业操作证，证书可在国家官方平台查验，资质过期、伪造、不符者一律清退。</w:t>
      </w:r>
    </w:p>
    <w:p w14:paraId="52662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（三）在岗值守要求：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工作时间必须全程在指定服务区域坐班值守，严禁擅离职守、串岗、脱岗、玩手机、消极怠工；常态化开展设备巡检，接到紧急维修任务后，10分钟内必须抵达现场处置。</w:t>
      </w:r>
    </w:p>
    <w:p w14:paraId="1BF9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（四）故障维修时效：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严格执行维修时效标准：小修不过夜、大修不隔天；一般性故障当日彻底修复，重大故障第一时间制定抢修方案、进场施工，最短时间恢复设备正常运行，全程保障医院诊疗用电安全。</w:t>
      </w:r>
    </w:p>
    <w:p w14:paraId="4F618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（五）设备巡检维保要求：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负责全院配电系统、公共用电、照明设施、楼内机电设备、智能电力设施的日常巡检、保养、维修工作。冬季配电系统每周不少于1次全面巡检，夏季用电高峰期每周不少于2次全面巡检，巡检发现隐患、故障第一时间上报采购人并完成整改修复。</w:t>
      </w:r>
    </w:p>
    <w:p w14:paraId="24DA7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（六）台账记录要求：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每日开展设施设备巡查、维保、故障维修工作，详细记录巡检情况、故障原因、处置过程、整改结果，建立标准化工作日志、设备台账、维保台账，做到一事一记、全程可追溯，定期整理归档提交采购人。</w:t>
      </w:r>
    </w:p>
    <w:p w14:paraId="66063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（七）履职纪律要求：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严格落实安全生产、院区保密、岗位纪律等各项规定，保质保量完成日常运维、抢修保障工作，主动接受采购人及供应商的双重管理、安全教育与岗位培训。</w:t>
      </w:r>
    </w:p>
    <w:p w14:paraId="4C0A5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（八）临时性工作：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无条件完成采购人交办的电力保障、设备排查、专项保电、配合检查等其他临时性后勤电力相关工作。</w:t>
      </w:r>
    </w:p>
    <w:p w14:paraId="69813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六、补充履约考核与兜底条款</w:t>
      </w:r>
    </w:p>
    <w:p w14:paraId="7DD8E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（一）供应商需全程承担本电力运维的安全生产主体责任，所有作业严格遵守电力安全规程，作业过程中发生的安全事故、人员伤亡、设备损坏、第三方损失等，全部由供应商承担全责及一切费用。</w:t>
      </w:r>
    </w:p>
    <w:p w14:paraId="72FB3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（二）若出现人员资质不符、脱岗空岗、维修超时、巡检不到位、用电隐患未整改、薪酬社保违规等问题，采购人有权依据考核制度进行扣款、限期整改，情节严重的有权单方终止服务合同。</w:t>
      </w:r>
    </w:p>
    <w:p w14:paraId="39BC0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（三）供应商需保障院区电力设备零重大供电事故，全力配合医院等级评审、安全检查、应急演练等各项工作，提供配套电力技术支撑。</w:t>
      </w:r>
    </w:p>
    <w:p w14:paraId="64F24B00">
      <w:pP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br w:type="page"/>
      </w:r>
    </w:p>
    <w:p w14:paraId="253D7A39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291E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参加本次市场调研前的信用记录未列入失信执行人名单，重大税收违法案件当事人名单，无政府采购严重违法失信等行为的承诺函</w:t>
      </w:r>
    </w:p>
    <w:p w14:paraId="2C6FC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B5A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1EA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我公司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     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（公司名称）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single"/>
          <w:lang w:val="en-US" w:eastAsia="zh-CN" w:bidi="ar"/>
        </w:rPr>
        <w:t>威远县紧密型县域医共体管理委员会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关于威远县人民医院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采购2027年度电工外包服务控制价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</w:rPr>
        <w:t>市场询价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第二轮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的调研活动，现承诺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我公司在参加本次市场调研前的信用记录未列入失信执行人名单，重大税收违法案件当事人名单无政府采购严重违法失信等行为。</w:t>
      </w:r>
    </w:p>
    <w:p w14:paraId="1F44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DE8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2AB2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如违反以上承诺，本公司愿承担一切法律责任。</w:t>
      </w:r>
    </w:p>
    <w:p w14:paraId="2B7E6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AC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E287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7D8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0997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3252EA64">
      <w:pP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4CAEB8C6">
      <w:pPr>
        <w:jc w:val="both"/>
        <w:rPr>
          <w:rFonts w:hint="default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772D33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承  诺  函</w:t>
      </w:r>
    </w:p>
    <w:p w14:paraId="35F3D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EE6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627D8B8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作为参加本次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，现郑重承诺：</w:t>
      </w:r>
    </w:p>
    <w:p w14:paraId="1F75BE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具有独立承担民事责任的能力；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（二）具有良好的商业信誉和健全的财务会计制度；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（三）具有履行合同所必需的设备和专业技术能力；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（四）有依法缴纳税收和社会保障资金的良好记录；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　　（五）参加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前三年内，在经营活动中没有重大违法记录。</w:t>
      </w:r>
    </w:p>
    <w:p w14:paraId="46D7F7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left"/>
        <w:textAlignment w:val="auto"/>
        <w:outlineLvl w:val="9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（六）我公司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法定代表人、控股股东或实际控制人与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贵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高管人员及使用需求部门、采购部门关键岗位人员无夫妻、直系血亲、三代以内旁系血亲或者近姻亲关系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0946970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本公司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保证以上信息真实无误。如作虚假承诺，贵单位有权取消我方资格或解除合同，我方愿承担由此引发的一切法律责任。</w:t>
      </w:r>
    </w:p>
    <w:p w14:paraId="4706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010CA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2F6EF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2BF1F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6E3B5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2BBE91CC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</w:p>
    <w:p w14:paraId="14E8DB2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2027年度电工外包服务控制价（第二轮）</w:t>
      </w:r>
    </w:p>
    <w:p w14:paraId="437DDB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报价单</w:t>
      </w:r>
    </w:p>
    <w:p w14:paraId="48650FD3">
      <w:pPr>
        <w:rPr>
          <w:rFonts w:hint="default"/>
          <w:color w:val="auto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3317"/>
        <w:gridCol w:w="1200"/>
        <w:gridCol w:w="1066"/>
        <w:gridCol w:w="2579"/>
      </w:tblGrid>
      <w:tr w14:paraId="3CD4D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95" w:type="dxa"/>
            <w:tcBorders>
              <w:tl2br w:val="nil"/>
              <w:tr2bl w:val="nil"/>
            </w:tcBorders>
            <w:vAlign w:val="center"/>
          </w:tcPr>
          <w:p w14:paraId="19B95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17" w:type="dxa"/>
            <w:tcBorders>
              <w:tl2br w:val="nil"/>
              <w:tr2bl w:val="nil"/>
            </w:tcBorders>
            <w:vAlign w:val="center"/>
          </w:tcPr>
          <w:p w14:paraId="1600B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2439D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CA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2579" w:type="dxa"/>
            <w:tcBorders>
              <w:tl2br w:val="nil"/>
              <w:tr2bl w:val="nil"/>
            </w:tcBorders>
            <w:vAlign w:val="center"/>
          </w:tcPr>
          <w:p w14:paraId="43733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</w:tr>
      <w:tr w14:paraId="4130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95" w:type="dxa"/>
            <w:tcBorders>
              <w:tl2br w:val="nil"/>
              <w:tr2bl w:val="nil"/>
            </w:tcBorders>
            <w:vAlign w:val="center"/>
          </w:tcPr>
          <w:p w14:paraId="1DE7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317" w:type="dxa"/>
            <w:tcBorders>
              <w:tl2br w:val="nil"/>
              <w:tr2bl w:val="nil"/>
            </w:tcBorders>
            <w:vAlign w:val="center"/>
          </w:tcPr>
          <w:p w14:paraId="01B6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2027年度电工外包服务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2D32F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C2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年</w:t>
            </w:r>
          </w:p>
        </w:tc>
        <w:tc>
          <w:tcPr>
            <w:tcW w:w="2579" w:type="dxa"/>
            <w:tcBorders>
              <w:tl2br w:val="nil"/>
              <w:tr2bl w:val="nil"/>
            </w:tcBorders>
            <w:vAlign w:val="center"/>
          </w:tcPr>
          <w:p w14:paraId="2EDB3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836513B">
      <w:pPr>
        <w:rPr>
          <w:rFonts w:hint="default"/>
          <w:color w:val="auto"/>
          <w:sz w:val="28"/>
          <w:szCs w:val="36"/>
          <w:lang w:val="en-US" w:eastAsia="zh-CN"/>
        </w:rPr>
      </w:pPr>
    </w:p>
    <w:p w14:paraId="638711FC">
      <w:pPr>
        <w:ind w:firstLine="643" w:firstLineChars="200"/>
        <w:rPr>
          <w:rFonts w:hint="eastAsia" w:ascii="方正仿宋简体" w:hAnsi="方正仿宋简体" w:eastAsia="方正仿宋简体" w:cs="方正仿宋简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t>备注：本次报价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为全费用包干报价，包含从业人员工资、服装费、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工具机具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、培训费、管理费、税费等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所有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费用，同时，按照国家相关规定购买社会保险，履约期间不因市场人力波动调整报价。</w:t>
      </w:r>
    </w:p>
    <w:p w14:paraId="6CD1C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2F316A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3132904C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1ACE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4E736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CC8C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法定代表人/授权代表签字：</w:t>
      </w:r>
    </w:p>
    <w:p w14:paraId="53FE725A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1EAE0666">
      <w:pPr>
        <w:jc w:val="center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2026年  月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 日</w:t>
      </w:r>
    </w:p>
    <w:p w14:paraId="6789AADF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28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45E04D07-797A-485F-8324-74A5988BC6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F60551F-64F6-4365-81FA-FD1490A7373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0D69C1F-C51D-43C6-B6FF-636473510C61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0010D50-98A2-4740-B046-50E7BA75492B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A90465A-4D7F-4E7A-BFCA-8F1682A88F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27B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5864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25864A">
                    <w:pPr>
                      <w:pStyle w:val="4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0670D">
    <w:pPr>
      <w:pStyle w:val="5"/>
      <w:pBdr>
        <w:bottom w:val="none" w:color="auto" w:sz="0" w:space="0"/>
      </w:pBdr>
      <w:jc w:val="left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95FBF"/>
    <w:multiLevelType w:val="singleLevel"/>
    <w:tmpl w:val="C1F95F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552EDA"/>
    <w:rsid w:val="6C55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2026-10-14T10:11:00Z</dcterms:created>
  <dc:creator>啊</dc:creator>
  <cp:lastModifiedBy>啊</cp:lastModifiedBy>
  <dcterms:modified xsi:type="dcterms:W3CDTF">2026-10-14T10:12:04Z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FB32C6AAEFE348F0A386C467047277B1_11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