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4E3B6A">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default" w:ascii="Times New Roman" w:hAnsi="Times New Roman" w:eastAsia="方正仿宋简体" w:cs="Times New Roman"/>
          <w:b/>
          <w:bCs/>
          <w:sz w:val="32"/>
          <w:szCs w:val="40"/>
        </w:rPr>
      </w:pPr>
      <w:bookmarkStart w:id="0" w:name="_GoBack"/>
      <w:bookmarkEnd w:id="0"/>
    </w:p>
    <w:p w14:paraId="5E70C69C">
      <w:pPr>
        <w:jc w:val="both"/>
        <w:rPr>
          <w:rFonts w:hint="default" w:ascii="Times New Roman" w:hAnsi="Times New Roman" w:eastAsia="方正黑体简体" w:cs="Times New Roman"/>
          <w:b/>
          <w:bCs/>
          <w:color w:val="auto"/>
          <w:highlight w:val="none"/>
          <w:lang w:val="en-US" w:eastAsia="zh-CN"/>
        </w:rPr>
      </w:pPr>
      <w:r>
        <w:rPr>
          <w:rFonts w:hint="default" w:ascii="Times New Roman" w:hAnsi="Times New Roman" w:eastAsia="方正黑体简体" w:cs="Times New Roman"/>
          <w:b/>
          <w:bCs/>
          <w:color w:val="auto"/>
          <w:kern w:val="2"/>
          <w:sz w:val="32"/>
          <w:szCs w:val="32"/>
          <w:highlight w:val="none"/>
          <w:lang w:val="en-US" w:eastAsia="zh-CN" w:bidi="ar-SA"/>
        </w:rPr>
        <w:t>附件</w:t>
      </w:r>
      <w:r>
        <w:rPr>
          <w:rFonts w:hint="eastAsia" w:ascii="Times New Roman" w:hAnsi="Times New Roman" w:eastAsia="方正黑体简体" w:cs="Times New Roman"/>
          <w:b/>
          <w:bCs/>
          <w:color w:val="auto"/>
          <w:kern w:val="2"/>
          <w:sz w:val="32"/>
          <w:szCs w:val="32"/>
          <w:highlight w:val="none"/>
          <w:lang w:val="en-US" w:eastAsia="zh-CN" w:bidi="ar-SA"/>
        </w:rPr>
        <w:t>1</w:t>
      </w:r>
    </w:p>
    <w:p w14:paraId="23052602">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default" w:ascii="Times New Roman" w:hAnsi="Times New Roman" w:eastAsia="方正小标宋简体" w:cs="Times New Roman"/>
          <w:b/>
          <w:bCs w:val="0"/>
          <w:color w:val="auto"/>
          <w:sz w:val="36"/>
          <w:szCs w:val="36"/>
          <w:lang w:val="en-US" w:eastAsia="zh-CN"/>
        </w:rPr>
      </w:pPr>
    </w:p>
    <w:p w14:paraId="7BAA6211">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default" w:ascii="Times New Roman" w:hAnsi="Times New Roman" w:cs="Times New Roman"/>
          <w:lang w:val="en-US" w:eastAsia="zh-CN"/>
        </w:rPr>
      </w:pPr>
      <w:r>
        <w:rPr>
          <w:rFonts w:hint="default" w:ascii="Times New Roman" w:hAnsi="Times New Roman" w:eastAsia="方正小标宋简体" w:cs="Times New Roman"/>
          <w:b/>
          <w:bCs w:val="0"/>
          <w:color w:val="auto"/>
          <w:sz w:val="36"/>
          <w:szCs w:val="36"/>
          <w:lang w:val="en-US" w:eastAsia="zh-CN"/>
        </w:rPr>
        <w:t>威远县山王镇卫生院能力提升建设</w:t>
      </w:r>
      <w:r>
        <w:rPr>
          <w:rFonts w:hint="eastAsia" w:ascii="Times New Roman" w:hAnsi="Times New Roman" w:eastAsia="方正小标宋简体" w:cs="Times New Roman"/>
          <w:b/>
          <w:bCs w:val="0"/>
          <w:color w:val="auto"/>
          <w:sz w:val="36"/>
          <w:szCs w:val="36"/>
          <w:lang w:val="en-US" w:eastAsia="zh-CN"/>
        </w:rPr>
        <w:t>监控系统改造升级</w:t>
      </w:r>
      <w:r>
        <w:rPr>
          <w:rFonts w:hint="default" w:ascii="Times New Roman" w:hAnsi="Times New Roman" w:eastAsia="方正小标宋简体" w:cs="Times New Roman"/>
          <w:b/>
          <w:bCs w:val="0"/>
          <w:color w:val="auto"/>
          <w:sz w:val="36"/>
          <w:szCs w:val="36"/>
          <w:lang w:val="en-US" w:eastAsia="zh-CN"/>
        </w:rPr>
        <w:t>需求</w:t>
      </w:r>
      <w:r>
        <w:rPr>
          <w:rFonts w:hint="eastAsia" w:ascii="Times New Roman" w:hAnsi="Times New Roman" w:eastAsia="方正小标宋简体" w:cs="Times New Roman"/>
          <w:b/>
          <w:bCs w:val="0"/>
          <w:color w:val="auto"/>
          <w:sz w:val="36"/>
          <w:szCs w:val="36"/>
          <w:lang w:val="en-US" w:eastAsia="zh-CN"/>
        </w:rPr>
        <w:t>预算价明细表</w:t>
      </w:r>
    </w:p>
    <w:tbl>
      <w:tblPr>
        <w:tblStyle w:val="8"/>
        <w:tblW w:w="493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CellMar>
          <w:top w:w="0" w:type="dxa"/>
          <w:left w:w="108" w:type="dxa"/>
          <w:bottom w:w="0" w:type="dxa"/>
          <w:right w:w="108" w:type="dxa"/>
        </w:tblCellMar>
      </w:tblPr>
      <w:tblGrid>
        <w:gridCol w:w="543"/>
        <w:gridCol w:w="2086"/>
        <w:gridCol w:w="4844"/>
        <w:gridCol w:w="915"/>
        <w:gridCol w:w="1125"/>
        <w:gridCol w:w="1845"/>
        <w:gridCol w:w="1650"/>
        <w:gridCol w:w="1"/>
      </w:tblGrid>
      <w:tr w14:paraId="445D5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0" w:type="dxa"/>
            <w:left w:w="108" w:type="dxa"/>
            <w:bottom w:w="0" w:type="dxa"/>
            <w:right w:w="108" w:type="dxa"/>
          </w:tblCellMar>
        </w:tblPrEx>
        <w:trPr>
          <w:gridAfter w:val="1"/>
          <w:wAfter w:w="1" w:type="dxa"/>
        </w:trPr>
        <w:tc>
          <w:tcPr>
            <w:tcW w:w="208"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75EC5D0D">
            <w:pPr>
              <w:spacing w:beforeAutospacing="0" w:afterAutospacing="0"/>
              <w:ind w:right="0" w:rightChars="0"/>
              <w:jc w:val="center"/>
              <w:rPr>
                <w:rFonts w:hint="eastAsia" w:eastAsia="宋体"/>
                <w:b/>
                <w:color w:val="auto"/>
                <w:shd w:val="clear" w:color="auto" w:fill="auto"/>
                <w:lang w:val="en-US" w:eastAsia="zh-CN"/>
              </w:rPr>
            </w:pPr>
            <w:r>
              <w:rPr>
                <w:rFonts w:hint="eastAsia"/>
                <w:b/>
                <w:color w:val="auto"/>
                <w:shd w:val="clear" w:color="auto" w:fill="auto"/>
                <w:lang w:val="en-US" w:eastAsia="zh-CN"/>
              </w:rPr>
              <w:t>序号</w:t>
            </w:r>
          </w:p>
        </w:tc>
        <w:tc>
          <w:tcPr>
            <w:tcW w:w="801"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624D11B3">
            <w:pPr>
              <w:spacing w:beforeAutospacing="0" w:afterAutospacing="0"/>
              <w:ind w:right="0" w:rightChars="0"/>
              <w:jc w:val="center"/>
              <w:rPr>
                <w:b/>
                <w:color w:val="auto"/>
                <w:shd w:val="clear" w:color="auto" w:fill="auto"/>
              </w:rPr>
            </w:pPr>
            <w:r>
              <w:rPr>
                <w:b/>
                <w:color w:val="auto"/>
                <w:shd w:val="clear" w:color="auto" w:fill="auto"/>
              </w:rPr>
              <w:t>设备名称</w:t>
            </w:r>
          </w:p>
        </w:tc>
        <w:tc>
          <w:tcPr>
            <w:tcW w:w="1861"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0DF650DF">
            <w:pPr>
              <w:spacing w:beforeAutospacing="0" w:afterAutospacing="0"/>
              <w:ind w:right="0" w:rightChars="0"/>
              <w:jc w:val="center"/>
              <w:rPr>
                <w:b/>
                <w:color w:val="auto"/>
                <w:kern w:val="2"/>
                <w:sz w:val="21"/>
                <w:szCs w:val="24"/>
                <w:shd w:val="clear" w:color="auto" w:fill="auto"/>
                <w:lang w:val="en-US" w:eastAsia="zh-CN" w:bidi="ar-SA"/>
              </w:rPr>
            </w:pPr>
            <w:r>
              <w:rPr>
                <w:rFonts w:hint="eastAsia"/>
                <w:b/>
                <w:color w:val="auto"/>
                <w:shd w:val="clear" w:color="auto" w:fill="auto"/>
                <w:lang w:val="en-US" w:eastAsia="zh-CN"/>
              </w:rPr>
              <w:t>采购需求</w:t>
            </w:r>
          </w:p>
        </w:tc>
        <w:tc>
          <w:tcPr>
            <w:tcW w:w="351"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71CD91ED">
            <w:pPr>
              <w:spacing w:beforeAutospacing="0" w:afterAutospacing="0"/>
              <w:ind w:right="0" w:rightChars="0"/>
              <w:jc w:val="center"/>
              <w:rPr>
                <w:rFonts w:hint="default" w:eastAsia="宋体"/>
                <w:b/>
                <w:color w:val="auto"/>
                <w:kern w:val="2"/>
                <w:sz w:val="21"/>
                <w:szCs w:val="24"/>
                <w:shd w:val="clear" w:color="auto" w:fill="auto"/>
                <w:lang w:val="en-US" w:eastAsia="zh-CN" w:bidi="ar-SA"/>
              </w:rPr>
            </w:pPr>
            <w:r>
              <w:rPr>
                <w:rFonts w:hint="eastAsia" w:eastAsia="宋体"/>
                <w:b/>
                <w:color w:val="auto"/>
                <w:kern w:val="2"/>
                <w:sz w:val="21"/>
                <w:szCs w:val="24"/>
                <w:shd w:val="clear" w:color="auto" w:fill="auto"/>
                <w:lang w:val="en-US" w:eastAsia="zh-CN" w:bidi="ar-SA"/>
              </w:rPr>
              <w:t>数量</w:t>
            </w:r>
          </w:p>
        </w:tc>
        <w:tc>
          <w:tcPr>
            <w:tcW w:w="432"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0E5426F2">
            <w:pPr>
              <w:spacing w:beforeAutospacing="0" w:afterAutospacing="0"/>
              <w:ind w:right="0" w:rightChars="0"/>
              <w:jc w:val="center"/>
              <w:rPr>
                <w:rFonts w:hint="default" w:eastAsia="宋体"/>
                <w:b/>
                <w:color w:val="auto"/>
                <w:kern w:val="2"/>
                <w:sz w:val="21"/>
                <w:szCs w:val="24"/>
                <w:shd w:val="clear" w:color="auto" w:fill="auto"/>
                <w:lang w:val="en-US" w:eastAsia="zh-CN" w:bidi="ar-SA"/>
              </w:rPr>
            </w:pPr>
            <w:r>
              <w:rPr>
                <w:rFonts w:hint="eastAsia" w:eastAsia="宋体"/>
                <w:b/>
                <w:color w:val="auto"/>
                <w:kern w:val="2"/>
                <w:sz w:val="21"/>
                <w:szCs w:val="24"/>
                <w:shd w:val="clear" w:color="auto" w:fill="auto"/>
                <w:lang w:val="en-US" w:eastAsia="zh-CN" w:bidi="ar-SA"/>
              </w:rPr>
              <w:t>规格</w:t>
            </w:r>
          </w:p>
        </w:tc>
        <w:tc>
          <w:tcPr>
            <w:tcW w:w="709"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60586E59">
            <w:pPr>
              <w:spacing w:beforeAutospacing="0" w:afterAutospacing="0"/>
              <w:ind w:right="0" w:rightChars="0"/>
              <w:jc w:val="center"/>
              <w:rPr>
                <w:rFonts w:hint="default" w:eastAsia="宋体"/>
                <w:b/>
                <w:color w:val="auto"/>
                <w:kern w:val="2"/>
                <w:sz w:val="21"/>
                <w:szCs w:val="24"/>
                <w:shd w:val="clear" w:color="auto" w:fill="auto"/>
                <w:lang w:val="en-US" w:eastAsia="zh-CN" w:bidi="ar-SA"/>
              </w:rPr>
            </w:pPr>
            <w:r>
              <w:rPr>
                <w:rFonts w:hint="eastAsia" w:eastAsia="宋体"/>
                <w:b/>
                <w:color w:val="auto"/>
                <w:kern w:val="2"/>
                <w:sz w:val="21"/>
                <w:szCs w:val="24"/>
                <w:shd w:val="clear" w:color="auto" w:fill="auto"/>
                <w:lang w:val="en-US" w:eastAsia="zh-CN" w:bidi="ar-SA"/>
              </w:rPr>
              <w:t>预算单价（元）</w:t>
            </w:r>
          </w:p>
        </w:tc>
        <w:tc>
          <w:tcPr>
            <w:tcW w:w="634"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74ECC6FB">
            <w:pPr>
              <w:spacing w:beforeAutospacing="0" w:afterAutospacing="0"/>
              <w:ind w:right="0"/>
              <w:jc w:val="center"/>
              <w:rPr>
                <w:rFonts w:hint="default" w:eastAsia="宋体"/>
                <w:b/>
                <w:color w:val="auto"/>
                <w:shd w:val="clear" w:color="auto" w:fill="auto"/>
                <w:lang w:val="en-US" w:eastAsia="zh-CN"/>
              </w:rPr>
            </w:pPr>
            <w:r>
              <w:rPr>
                <w:rFonts w:hint="eastAsia"/>
                <w:b/>
                <w:color w:val="auto"/>
                <w:shd w:val="clear" w:color="auto" w:fill="auto"/>
                <w:lang w:val="en-US" w:eastAsia="zh-CN"/>
              </w:rPr>
              <w:t>预算价（元）</w:t>
            </w:r>
          </w:p>
        </w:tc>
      </w:tr>
      <w:tr w14:paraId="5E1C9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restart"/>
            <w:tcBorders>
              <w:top w:val="single" w:color="auto" w:sz="4" w:space="0"/>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01AB1EE1">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w:t>
            </w:r>
          </w:p>
        </w:tc>
        <w:tc>
          <w:tcPr>
            <w:tcW w:w="2086" w:type="dxa"/>
            <w:vMerge w:val="restart"/>
            <w:tcBorders>
              <w:top w:val="single" w:color="auto" w:sz="4" w:space="0"/>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12CFC6B8">
            <w:pPr>
              <w:spacing w:beforeAutospacing="0" w:afterAutospacing="0"/>
              <w:ind w:right="0" w:rightChars="0"/>
              <w:jc w:val="center"/>
              <w:rPr>
                <w:rFonts w:hint="default" w:ascii="Times New Roman" w:hAnsi="Times New Roman" w:eastAsia="方正仿宋简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监控系统改造升级</w:t>
            </w: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CED40A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left"/>
              <w:textAlignment w:val="auto"/>
              <w:rPr>
                <w:rFonts w:hint="default" w:ascii="Times New Roman" w:hAnsi="Times New Roman" w:eastAsia="方正仿宋简体" w:cs="Times New Roman"/>
                <w:b/>
                <w:bCs/>
                <w:color w:val="000000" w:themeColor="text1"/>
                <w:sz w:val="21"/>
                <w:szCs w:val="21"/>
                <w:lang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64路NVR录像机</w:t>
            </w:r>
            <w:r>
              <w:rPr>
                <w:rFonts w:hint="default" w:ascii="Times New Roman" w:hAnsi="Times New Roman" w:eastAsia="方正仿宋简体" w:cs="Times New Roman"/>
                <w:b/>
                <w:bCs/>
                <w:color w:val="000000" w:themeColor="text1"/>
                <w:sz w:val="21"/>
                <w:szCs w:val="21"/>
                <w:lang w:eastAsia="zh-CN"/>
                <w14:textFill>
                  <w14:solidFill>
                    <w14:schemeClr w14:val="tx1"/>
                  </w14:solidFill>
                </w14:textFill>
              </w:rPr>
              <w:t>：</w:t>
            </w:r>
          </w:p>
          <w:p w14:paraId="64B4BFC8">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硬件规格：3U机架式结构，16个SATA硬盘接口，支持硬盘热插拔，最大支持20TB大容量硬盘；配备2路HDMI、2路VGA视频输出接口，2个千兆自适应以太网口，16路报警输入、4路报警输出，具备RS-232、RS-485串行接口，多组USB2.0、USB3.0接口。2、性能参数：视频输入带宽≥384Mbps，输出带宽≥256Mbps，支持64路H.264、H.265高清码流接入；最大支持32路1080P解码，支持8K+1080P、双4K异源输出。3、存储功能：支持RAID0、RAID1、RAID5、RAID6、RAID10阵列模式，支持全局热备盘，支持监控级、企业级硬盘组建阵列，保障数据安全。4、基础功能：支持录像回放、智能侦测、异常告警、硬盘故障检测、设备远程管理等功能，适配7×24小时不间断运行。</w:t>
            </w:r>
          </w:p>
          <w:p w14:paraId="57F442A1">
            <w:pPr>
              <w:pStyle w:val="2"/>
              <w:rPr>
                <w:rFonts w:hint="default" w:ascii="Times New Roman" w:hAnsi="Times New Roman" w:eastAsia="方正仿宋简体" w:cs="Times New Roman"/>
                <w:b/>
                <w:bCs/>
                <w:color w:val="000000" w:themeColor="text1"/>
                <w:kern w:val="2"/>
                <w:sz w:val="21"/>
                <w:szCs w:val="21"/>
                <w:lang w:val="en-US" w:eastAsia="zh-CN" w:bidi="ar-SA"/>
                <w14:textFill>
                  <w14:solidFill>
                    <w14:schemeClr w14:val="tx1"/>
                  </w14:solidFill>
                </w14:textFill>
              </w:rPr>
            </w:pP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3966CBF">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44C524B">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5326BEE">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2950.00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BF54412">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2950.00</w:t>
            </w:r>
          </w:p>
        </w:tc>
      </w:tr>
      <w:tr w14:paraId="26414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87597E8">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143A0612">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D943857">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left"/>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32路NVR录像机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1F474BDE">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硬件规格：3U机架式结构，16个SATA硬盘接口，支持硬盘热插拔，最大支持20TB大容量硬盘；配备2路HDMI、2路VGA视频输出接口，2个千兆自适应以太网口，16路报警输入、4路报警输出，具备RS-232、RS-485串行接口，多组USB2.0、USB3.0接口。2、性能参数：视频输入带宽≥320Mbps，输出带宽≥256Mbps，支持32路H.264、H.265高清码流接入；最大支持32路1080P解码，支持8K+1080P、双4K异源输出。3、存储功能：支持RAID0、RAID1、RAID5、RAID6、RAID10阵列模式，支持全局热备盘，支持监控级、企业级硬盘组建阵列。4、基础功能：支持全天候录像、智能侦测、告警联动、硬盘异常预警、远程运维等功能。</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2578F97">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4BD95C2">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7D65067">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1900.00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BCB6026">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1900.00</w:t>
            </w:r>
          </w:p>
        </w:tc>
      </w:tr>
      <w:tr w14:paraId="688FE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5A2766D">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210101FB">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8E9292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left"/>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20TB监控级硬盘，满足录像存储保存 90 天以上业务需求</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7768BB8C">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容量 20TB（十进制，系统识别≈18.1TB） </w:t>
            </w:r>
          </w:p>
          <w:p w14:paraId="5EC521DF">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记录方式：采用 CMR 垂直记录技术，禁止 SMR 叠瓦式记录 </w:t>
            </w:r>
          </w:p>
          <w:p w14:paraId="03C2A911">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接口规格：SATA 接口，速率≥6Gb/s（SATA3.0） </w:t>
            </w:r>
          </w:p>
          <w:p w14:paraId="6938C88A">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转速 </w:t>
            </w:r>
            <w:r>
              <w:rPr>
                <w:rFonts w:hint="default" w:ascii="Times New Roman" w:hAnsi="Times New Roman" w:eastAsia="方正仿宋简体" w:cs="Times New Roman"/>
                <w:b/>
                <w:bCs/>
                <w:color w:val="000000" w:themeColor="text1"/>
                <w:sz w:val="21"/>
                <w:szCs w:val="21"/>
                <w14:textFill>
                  <w14:solidFill>
                    <w14:schemeClr w14:val="tx1"/>
                  </w14:solidFill>
                </w14:textFill>
              </w:rPr>
              <w:t>≥7200RPM</w:t>
            </w: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 </w:t>
            </w:r>
          </w:p>
          <w:p w14:paraId="2C1F4048">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高速缓存：≥256MB </w:t>
            </w:r>
          </w:p>
          <w:p w14:paraId="3CCFD2D2">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持续读取速度：≥270MB/s </w:t>
            </w:r>
          </w:p>
          <w:p w14:paraId="5586837B">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扇区模式：支持 512e /4Kn 双兼容</w:t>
            </w:r>
          </w:p>
          <w:p w14:paraId="183B44A2">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密封工艺：氦气密封</w:t>
            </w: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 </w:t>
            </w:r>
          </w:p>
          <w:p w14:paraId="1427BFDF">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硬盘规格：3.5 英寸 </w:t>
            </w:r>
          </w:p>
          <w:p w14:paraId="4AB16F70">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工作温度 5℃～60℃ </w:t>
            </w:r>
          </w:p>
          <w:p w14:paraId="45EE29D6">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功耗：待机功耗≤7W，工作状态功耗≤14W</w:t>
            </w: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 </w:t>
            </w:r>
          </w:p>
          <w:p w14:paraId="0D152EA0">
            <w:pPr>
              <w:pStyle w:val="2"/>
              <w:numPr>
                <w:ilvl w:val="0"/>
                <w:numId w:val="1"/>
              </w:numPr>
              <w:ind w:left="20" w:leftChars="0" w:firstLine="400" w:firstLineChars="0"/>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功能要求：支持硬件级数据即时安全擦除；支持功耗动态优化调节；内置环境状态传感器；支持热插拔功能</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443768B">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9</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9EAC4CF">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CA38E34">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4300.00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E11E18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38700.00</w:t>
            </w:r>
          </w:p>
        </w:tc>
      </w:tr>
      <w:tr w14:paraId="1CAD7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44145E5A">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78CD17F3">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894092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400万高清双光枪型摄像机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43D42328">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成像参数：有效像素≥400万，最高支持2560×1440@25fps实时录像。2、补光功能：支持红外、白光双光智能切换补光，SmartIR红外防过曝技术，夜间成像清晰无光晕。3、图像处理：具备背光补偿、强光抑制、3D数字降噪、数字宽动态功能，适配逆光、强光、弱光复杂场景。4、硬件配置：内置高清拾音麦克风，支持实时录音；支持POE供电，适配室外施工布线。5、防护等级：IP67防尘防水，适应户外高低温、雨雪、粉尘环境。6、协议兼容：支持ISAPI、SDK、GB28181国标协议，可无缝对接平台。</w:t>
            </w:r>
          </w:p>
          <w:p w14:paraId="07D7694C">
            <w:pPr>
              <w:pStyle w:val="2"/>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EDC0B1C">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32</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543765F">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9B2AEB6">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265.00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F760964">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8480.00</w:t>
            </w:r>
          </w:p>
        </w:tc>
      </w:tr>
      <w:tr w14:paraId="669CC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50E360B0">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73A847CD">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FE3D33E">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200万高清双光枪型摄像机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03A90ECE">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成像参数：有效像素≥200万，最高支持1920×1080@25fps实时高清录像。2、智能侦测：支持人形检测、移动侦测、异常行为侦测，可触发告警联动。3、图像优化：具备背光补偿、强光抑制、3D数字降噪、宽动态技术，适配复杂监控场景。4、补光与音频：红外+白光双智能补光，日夜自动切换；内置麦克风，支持现场录音。5、防护性能：IP67防尘防水等级，耐高低温、抗老化，适配室内外场景。6、协议兼容：支持国标GB28181协议，兼容主流监控平台。</w:t>
            </w:r>
          </w:p>
          <w:p w14:paraId="597225FA">
            <w:pPr>
              <w:pStyle w:val="2"/>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761DC1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35</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D1FD8A6">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29E375F">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230.00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2F4281D">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8050.00</w:t>
            </w:r>
          </w:p>
        </w:tc>
      </w:tr>
      <w:tr w14:paraId="6812B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6342B9AE">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65850C76">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E184A3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200万防爆摄像机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45F11220">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1、防爆等级：防爆标志不低于Ex db IIC T6 Gb/Ex tb IIIC T80℃ Db，具备国家认可的防爆合格证书。2、防护等级：IP66/IP68防尘防水，可长期在潮湿、多尘、高危环境运行。3、成像性能：200万高清像素，1920×1080@25fps录像，支持Smart265智能编码、低码率传输、ROI区域增强编码。4、补光与画质：双色长效补光灯，有效照射距离≥60米，ICR日夜自动切换，120dB超宽动态、3D降噪，支持走廊模式、背光补偿。5、供电方式：支持AC100-240V市电、POE双供电模式。6、协议与功能：支持GB28181、FTP、NTP服务，支持事件告警、远程管理。7、材质：高强度铝合金防爆外壳，抗冲击、耐腐蚀。</w:t>
            </w:r>
          </w:p>
          <w:p w14:paraId="2959097E">
            <w:pPr>
              <w:pStyle w:val="2"/>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E3A3385">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E6B0F2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719BDDD">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1150.00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68F0849">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3450.00</w:t>
            </w:r>
          </w:p>
        </w:tc>
      </w:tr>
      <w:tr w14:paraId="2082C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648797E9">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7CB2AF02">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23B029D">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8口千兆交换机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3D01090D">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端口规格：≥8个10/100/1000Mbps自适应千兆电口，非网管即插即用，无需配置。2、性能参数：交换容量≥16Gbps，包转发率≥12Mpps，满足多路高清视频同时传输无卡顿。3、防护性能：业务端口支持≥4kV防雷防护，适配户外、弱电箱复杂用电环境。4、设备特性：塑壳轻量化设计，功耗低、稳定性高，支持7×24小时不间断运行。</w:t>
            </w:r>
          </w:p>
          <w:p w14:paraId="4241122A">
            <w:pPr>
              <w:pStyle w:val="2"/>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3FC23F5">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8</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A616A1B">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8F712F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115.00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410646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920.00</w:t>
            </w:r>
          </w:p>
        </w:tc>
      </w:tr>
      <w:tr w14:paraId="551B2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42AB0684">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2EE4DD74">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16BB66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5口千兆交换机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1CB564D9">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端口规格：≥5个10/100/1000Mbps自适应千兆电口，非网管设计，即插即用，部署便捷。2、性能参数：交换容量≥10Gbps，包转发率≥7.5Mpps，满足高清监控视频稳定传输。3、防护性能：端口具备防雷防静电保护，适应现场复杂施工环境。4、设备特性：低功耗、高稳定性，支持全天候不间断运行，适配小型点位组网。</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CFDE3CA">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17</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DF4718D">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5A9F5D2">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75.00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F3EDA4A">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1275.00</w:t>
            </w:r>
          </w:p>
        </w:tc>
      </w:tr>
      <w:tr w14:paraId="41BD1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1D68B282">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69E47AEC">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4ACE3D5">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无氧铜芯高清线</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36CD5546">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规格标准：国标六类非屏蔽网线，导体为纯无氧铜，线径≥0.5mm，杜绝铜包铝、铜包铁等劣质材质。2、传输性能：带宽≥250MHz，支持千兆及以上网络传输，满足高清监控视频、音频数据稳定传输，无延迟、无丢包。3、材质工艺：外皮阻燃、耐老化、耐拉扯，适配室内外布线，防潮防腐蚀，使用寿命长。4、验收标准：支持现场抽样检测，材质、线径、传输参数需达标。</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C255AA7">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805A09C">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根</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600066F">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281.00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17DE07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281.00</w:t>
            </w:r>
          </w:p>
        </w:tc>
      </w:tr>
      <w:tr w14:paraId="4C526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63BECFFF">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1F639230">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0D1E58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摄像机支架</w:t>
            </w:r>
            <w:r>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t>：</w:t>
            </w:r>
          </w:p>
          <w:p w14:paraId="11D4E17E">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材质工艺：加厚金属材质，整体防锈、防腐、抗老化处理，适配户外长期使用。2、结构功能：标准壁装结构，角度可上下、左右调节，适配本项目所有枪型摄像机安装固定。3、适配性：安装稳固、承重性强，抗风、抗震动，适配室外复杂环境。</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B09119B">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70</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4E432B9">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个</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6438FF7">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20.00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28B3A4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1400.00</w:t>
            </w:r>
          </w:p>
        </w:tc>
      </w:tr>
      <w:tr w14:paraId="350A3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6A220513">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5883F31C">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B2839B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摄像机电源</w:t>
            </w:r>
            <w:r>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t>：</w:t>
            </w:r>
          </w:p>
          <w:p w14:paraId="32A0F830">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电气参数：标准输出DC12V/2A，宽电压AC85-265V输入，适配国内通用市电环境。2、防护功能：具备防雷、过压、过流、短路保护功能，有效保护摄像机设备。3、性能要求：低功耗、稳压效果好，7×24小时不间断运行不发热、不跳闸、不烧机。4、合规要求：符合国家电气安全标准，具备3C认证。</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80D720C">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70</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878BD4D">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个</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C97493D">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28.00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B338F3F">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1960.00</w:t>
            </w:r>
          </w:p>
        </w:tc>
      </w:tr>
      <w:tr w14:paraId="58C44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0094276">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1435B636">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ECF6DD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交换机防水收纳箱</w:t>
            </w:r>
            <w:r>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t>：</w:t>
            </w:r>
          </w:p>
          <w:p w14:paraId="11475068">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尺寸规格：外尺寸280*190*100MM，适配常规千兆交换机安装。2、材质性能：高强度防水防尘材质，密封性好，防雨、防尘、防潮、防腐蚀，适配室外弱电点位安装。3、结构设计：预留走线孔、散热孔，内部带固定支架，安装便捷，可有效保护交换机、线路及接头。</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F33BB2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14</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2413C1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个</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3100525">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28.00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8E5E9DE">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392.00</w:t>
            </w:r>
          </w:p>
        </w:tc>
      </w:tr>
      <w:tr w14:paraId="32883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4091E0C6">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491EE406">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538C18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信号电源综合线</w:t>
            </w:r>
            <w:r>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t>：</w:t>
            </w:r>
          </w:p>
          <w:p w14:paraId="330307EE">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线体规格：4*0.46+2*0.5复合型综合线，集成信号传输与供电功能。2、材质要求：纯无氧铜导体，绝缘层阻燃、耐拉扯、耐老化，防潮防腐。3、使用场景：适配摄像机远距离供电、信号传输，兼顾供电稳定性和网络信号完整性，无干扰、无衰减。4、施工要求：适配室内外布线，满足项目全程敷设需求。</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2237E27">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3720</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2C4547C">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米</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D914C8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4.00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A7E4259">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14880.00</w:t>
            </w:r>
          </w:p>
        </w:tc>
      </w:tr>
      <w:tr w14:paraId="7D254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F74504B">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DA0A93D">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D86542E">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PVC穿线管</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827C12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2500</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966B9C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米</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EB03FE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3C5819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5000.00</w:t>
            </w:r>
          </w:p>
        </w:tc>
      </w:tr>
      <w:tr w14:paraId="3FE5D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restart"/>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739E4C89">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1</w:t>
            </w:r>
          </w:p>
        </w:tc>
        <w:tc>
          <w:tcPr>
            <w:tcW w:w="2086" w:type="dxa"/>
            <w:vMerge w:val="restart"/>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0A5B8226">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监控系统改造升级</w:t>
            </w: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22267FC">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网络水晶头</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2E61E1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190</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F929AC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个</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E3A197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0.80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4B4226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152.00</w:t>
            </w:r>
          </w:p>
        </w:tc>
      </w:tr>
      <w:tr w14:paraId="7B983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67122DE5">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2DDBEC1D">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E341FE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管卡</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F158B87">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21</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7218FDE">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袋</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37A7517">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10.00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53823D9">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210.00</w:t>
            </w:r>
          </w:p>
        </w:tc>
      </w:tr>
      <w:tr w14:paraId="63FD5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58C551BD">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02162FB8">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63908E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其他费用（含人工费、税费等）</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9A288BA">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0A9E70D">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44186C6">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21D0821">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9000.00</w:t>
            </w:r>
          </w:p>
        </w:tc>
      </w:tr>
      <w:tr w14:paraId="1F898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7BBE11F9">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03A5F307">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192C5AC">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合</w:t>
            </w: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计</w:t>
            </w:r>
          </w:p>
        </w:tc>
        <w:tc>
          <w:tcPr>
            <w:tcW w:w="3885" w:type="dxa"/>
            <w:gridSpan w:val="3"/>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7269B92">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78D5527">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99000.00</w:t>
            </w:r>
          </w:p>
        </w:tc>
        <w:tc>
          <w:tcPr>
            <w:tcW w:w="1"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79B3073">
            <w:pPr>
              <w:spacing w:beforeAutospacing="0" w:afterAutospacing="0"/>
              <w:ind w:right="0" w:rightChars="0"/>
              <w:jc w:val="center"/>
            </w:pPr>
          </w:p>
        </w:tc>
      </w:tr>
    </w:tbl>
    <w:p w14:paraId="7992AE2A">
      <w:pPr>
        <w:keepNext w:val="0"/>
        <w:keepLines w:val="0"/>
        <w:pageBreakBefore w:val="0"/>
        <w:widowControl w:val="0"/>
        <w:kinsoku/>
        <w:wordWrap/>
        <w:overflowPunct/>
        <w:topLinePunct w:val="0"/>
        <w:autoSpaceDE/>
        <w:autoSpaceDN/>
        <w:bidi w:val="0"/>
        <w:adjustRightInd w:val="0"/>
        <w:snapToGrid w:val="0"/>
        <w:spacing w:line="560" w:lineRule="exact"/>
        <w:ind w:firstLine="5461" w:firstLineChars="1700"/>
        <w:textAlignment w:val="auto"/>
        <w:rPr>
          <w:rFonts w:hint="default" w:ascii="Times New Roman" w:hAnsi="Times New Roman" w:eastAsia="方正仿宋简体" w:cs="Times New Roman"/>
          <w:b/>
          <w:bCs/>
          <w:sz w:val="32"/>
          <w:szCs w:val="40"/>
        </w:rPr>
        <w:sectPr>
          <w:footerReference r:id="rId3" w:type="default"/>
          <w:pgSz w:w="16840" w:h="11905" w:orient="landscape"/>
          <w:pgMar w:top="1531" w:right="2098" w:bottom="1531" w:left="1928" w:header="964" w:footer="1587" w:gutter="0"/>
          <w:pgNumType w:fmt="decimal"/>
          <w:cols w:space="0" w:num="1"/>
          <w:rtlGutter w:val="0"/>
          <w:docGrid w:linePitch="0" w:charSpace="0"/>
        </w:sectPr>
      </w:pPr>
    </w:p>
    <w:p w14:paraId="253D7A39">
      <w:pPr>
        <w:jc w:val="both"/>
        <w:rPr>
          <w:rFonts w:hint="default" w:ascii="Times New Roman" w:hAnsi="Times New Roman" w:eastAsia="方正黑体简体" w:cs="Times New Roman"/>
          <w:b/>
          <w:bCs/>
          <w:color w:val="auto"/>
          <w:highlight w:val="none"/>
          <w:lang w:val="en-US" w:eastAsia="zh-CN"/>
        </w:rPr>
      </w:pPr>
      <w:r>
        <w:rPr>
          <w:rFonts w:hint="default" w:ascii="Times New Roman" w:hAnsi="Times New Roman" w:eastAsia="方正黑体简体" w:cs="Times New Roman"/>
          <w:b/>
          <w:bCs/>
          <w:color w:val="auto"/>
          <w:kern w:val="2"/>
          <w:sz w:val="32"/>
          <w:szCs w:val="32"/>
          <w:highlight w:val="none"/>
          <w:lang w:val="en-US" w:eastAsia="zh-CN" w:bidi="ar-SA"/>
        </w:rPr>
        <w:t>附件</w:t>
      </w:r>
      <w:r>
        <w:rPr>
          <w:rFonts w:hint="eastAsia" w:ascii="Times New Roman" w:hAnsi="Times New Roman" w:eastAsia="方正黑体简体" w:cs="Times New Roman"/>
          <w:b/>
          <w:bCs/>
          <w:color w:val="auto"/>
          <w:kern w:val="2"/>
          <w:sz w:val="32"/>
          <w:szCs w:val="32"/>
          <w:highlight w:val="none"/>
          <w:lang w:val="en-US" w:eastAsia="zh-CN" w:bidi="ar-SA"/>
        </w:rPr>
        <w:t>2</w:t>
      </w:r>
    </w:p>
    <w:p w14:paraId="291EB720">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b/>
          <w:bCs/>
          <w:color w:val="auto"/>
          <w:spacing w:val="-6"/>
          <w:kern w:val="2"/>
          <w:sz w:val="36"/>
          <w:szCs w:val="36"/>
          <w:highlight w:val="none"/>
          <w:lang w:val="en-US" w:eastAsia="zh-CN" w:bidi="ar-SA"/>
        </w:rPr>
      </w:pPr>
      <w:r>
        <w:rPr>
          <w:rFonts w:hint="default" w:ascii="Times New Roman" w:hAnsi="Times New Roman" w:eastAsia="方正小标宋简体" w:cs="Times New Roman"/>
          <w:b/>
          <w:bCs/>
          <w:color w:val="auto"/>
          <w:spacing w:val="-6"/>
          <w:kern w:val="2"/>
          <w:sz w:val="36"/>
          <w:szCs w:val="36"/>
          <w:highlight w:val="none"/>
          <w:lang w:val="en-US" w:eastAsia="zh-CN" w:bidi="ar-SA"/>
        </w:rPr>
        <w:t>参加本次市场调研前的信用记录未列入失信被执行人名单，重大税收违法案件当事人名单，无政府采购严重违法失信等行为的承诺函</w:t>
      </w:r>
    </w:p>
    <w:p w14:paraId="2C6FC29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lang w:val="en-US" w:eastAsia="zh-CN"/>
        </w:rPr>
      </w:pPr>
    </w:p>
    <w:p w14:paraId="5B5A488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kern w:val="2"/>
          <w:sz w:val="32"/>
          <w:szCs w:val="32"/>
          <w:highlight w:val="none"/>
          <w:lang w:val="en-US" w:eastAsia="zh-CN" w:bidi="ar-SA"/>
        </w:rPr>
      </w:pPr>
      <w:r>
        <w:rPr>
          <w:rFonts w:hint="default" w:ascii="Times New Roman" w:hAnsi="Times New Roman" w:eastAsia="方正仿宋简体" w:cs="Times New Roman"/>
          <w:b/>
          <w:bCs/>
          <w:color w:val="auto"/>
          <w:sz w:val="32"/>
          <w:szCs w:val="32"/>
          <w:highlight w:val="none"/>
          <w:lang w:val="en-US" w:eastAsia="zh-CN"/>
        </w:rPr>
        <w:t>威远县紧密型县域医共体管理委员会</w:t>
      </w:r>
      <w:r>
        <w:rPr>
          <w:rFonts w:hint="default" w:ascii="Times New Roman" w:hAnsi="Times New Roman" w:eastAsia="方正仿宋简体" w:cs="Times New Roman"/>
          <w:b/>
          <w:bCs/>
          <w:color w:val="auto"/>
          <w:sz w:val="32"/>
          <w:szCs w:val="32"/>
          <w:highlight w:val="none"/>
          <w:u w:val="none"/>
          <w:lang w:eastAsia="zh-CN"/>
        </w:rPr>
        <w:t>：</w:t>
      </w:r>
    </w:p>
    <w:p w14:paraId="11EA0733">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default" w:ascii="Times New Roman" w:hAnsi="Times New Roman" w:eastAsia="方正仿宋简体" w:cs="Times New Roman"/>
          <w:b/>
          <w:bCs/>
          <w:color w:val="auto"/>
          <w:kern w:val="2"/>
          <w:sz w:val="32"/>
          <w:szCs w:val="32"/>
          <w:highlight w:val="none"/>
          <w:u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t>我公司</w:t>
      </w:r>
      <w:r>
        <w:rPr>
          <w:rFonts w:hint="default" w:ascii="Times New Roman" w:hAnsi="Times New Roman" w:eastAsia="方正仿宋简体" w:cs="Times New Roman"/>
          <w:b/>
          <w:bCs/>
          <w:color w:val="auto"/>
          <w:kern w:val="2"/>
          <w:sz w:val="32"/>
          <w:szCs w:val="32"/>
          <w:highlight w:val="none"/>
          <w:u w:val="single"/>
          <w:lang w:val="en-US" w:eastAsia="zh-CN" w:bidi="ar-SA"/>
        </w:rPr>
        <w:t xml:space="preserve">                                  </w:t>
      </w:r>
      <w:r>
        <w:rPr>
          <w:rFonts w:hint="default" w:ascii="Times New Roman" w:hAnsi="Times New Roman" w:eastAsia="方正仿宋简体" w:cs="Times New Roman"/>
          <w:b/>
          <w:bCs/>
          <w:color w:val="auto"/>
          <w:kern w:val="2"/>
          <w:sz w:val="32"/>
          <w:szCs w:val="32"/>
          <w:highlight w:val="none"/>
          <w:u w:val="none"/>
          <w:lang w:val="en-US" w:eastAsia="zh-CN" w:bidi="ar-SA"/>
        </w:rPr>
        <w:t>（公司名称）</w:t>
      </w:r>
      <w:r>
        <w:rPr>
          <w:rFonts w:hint="default" w:ascii="Times New Roman" w:hAnsi="Times New Roman" w:eastAsia="方正仿宋简体" w:cs="Times New Roman"/>
          <w:b/>
          <w:bCs/>
          <w:color w:val="000000" w:themeColor="text1"/>
          <w:kern w:val="2"/>
          <w:sz w:val="32"/>
          <w:szCs w:val="32"/>
          <w:highlight w:val="none"/>
          <w:lang w:val="en-US" w:eastAsia="zh-CN" w:bidi="ar-SA"/>
          <w14:textFill>
            <w14:solidFill>
              <w14:schemeClr w14:val="tx1"/>
            </w14:solidFill>
          </w14:textFill>
        </w:rPr>
        <w:t>参加</w:t>
      </w:r>
      <w:r>
        <w:rPr>
          <w:rFonts w:hint="default" w:ascii="Times New Roman" w:hAnsi="Times New Roman" w:eastAsia="方正仿宋简体" w:cs="Times New Roman"/>
          <w:b/>
          <w:bCs/>
          <w:i w:val="0"/>
          <w:iCs w:val="0"/>
          <w:caps w:val="0"/>
          <w:color w:val="000000" w:themeColor="text1"/>
          <w:spacing w:val="0"/>
          <w:kern w:val="0"/>
          <w:sz w:val="32"/>
          <w:szCs w:val="32"/>
          <w:highlight w:val="none"/>
          <w:u w:val="none"/>
          <w:lang w:val="en-US" w:eastAsia="zh-CN" w:bidi="ar"/>
          <w14:textFill>
            <w14:solidFill>
              <w14:schemeClr w14:val="tx1"/>
            </w14:solidFill>
          </w14:textFill>
        </w:rPr>
        <w:t>威远县紧密型县域医共体管理委员会关于</w:t>
      </w:r>
      <w:r>
        <w:rPr>
          <w:rFonts w:hint="eastAsia" w:ascii="Times New Roman" w:hAnsi="Times New Roman" w:eastAsia="方正仿宋简体" w:cs="Times New Roman"/>
          <w:b/>
          <w:bCs/>
          <w:i w:val="0"/>
          <w:iCs w:val="0"/>
          <w:caps w:val="0"/>
          <w:color w:val="000000" w:themeColor="text1"/>
          <w:spacing w:val="0"/>
          <w:kern w:val="0"/>
          <w:sz w:val="32"/>
          <w:szCs w:val="32"/>
          <w:highlight w:val="none"/>
          <w:u w:val="none"/>
          <w:lang w:val="en-US" w:eastAsia="zh-CN" w:bidi="ar"/>
          <w14:textFill>
            <w14:solidFill>
              <w14:schemeClr w14:val="tx1"/>
            </w14:solidFill>
          </w14:textFill>
        </w:rPr>
        <w:t>威远县</w:t>
      </w:r>
      <w:r>
        <w:rPr>
          <w:rFonts w:hint="default" w:ascii="Times New Roman" w:hAnsi="Times New Roman" w:eastAsia="方正仿宋简体" w:cs="Times New Roman"/>
          <w:b/>
          <w:bCs/>
          <w:i w:val="0"/>
          <w:iCs w:val="0"/>
          <w:caps w:val="0"/>
          <w:color w:val="000000" w:themeColor="text1"/>
          <w:spacing w:val="0"/>
          <w:kern w:val="0"/>
          <w:sz w:val="32"/>
          <w:szCs w:val="32"/>
          <w:highlight w:val="none"/>
          <w:u w:val="none"/>
          <w:lang w:val="en-US" w:eastAsia="zh-CN" w:bidi="ar"/>
          <w14:textFill>
            <w14:solidFill>
              <w14:schemeClr w14:val="tx1"/>
            </w14:solidFill>
          </w14:textFill>
        </w:rPr>
        <w:t>山王镇卫生院能力提升建设</w:t>
      </w:r>
      <w:r>
        <w:rPr>
          <w:rFonts w:hint="eastAsia" w:ascii="Times New Roman" w:hAnsi="Times New Roman" w:eastAsia="方正仿宋简体" w:cs="Times New Roman"/>
          <w:b/>
          <w:bCs/>
          <w:i w:val="0"/>
          <w:iCs w:val="0"/>
          <w:caps w:val="0"/>
          <w:color w:val="auto"/>
          <w:spacing w:val="0"/>
          <w:sz w:val="32"/>
          <w:szCs w:val="32"/>
          <w:highlight w:val="none"/>
          <w:lang w:val="en-US" w:eastAsia="zh-CN"/>
        </w:rPr>
        <w:t>监控系统改造升级采购</w:t>
      </w:r>
      <w:r>
        <w:rPr>
          <w:rFonts w:hint="default" w:ascii="Times New Roman" w:hAnsi="Times New Roman" w:eastAsia="方正仿宋简体" w:cs="Times New Roman"/>
          <w:b/>
          <w:bCs/>
          <w:i w:val="0"/>
          <w:iCs w:val="0"/>
          <w:caps w:val="0"/>
          <w:color w:val="000000" w:themeColor="text1"/>
          <w:spacing w:val="0"/>
          <w:kern w:val="0"/>
          <w:sz w:val="32"/>
          <w:szCs w:val="32"/>
          <w:highlight w:val="none"/>
          <w:u w:val="none"/>
          <w:lang w:val="en-US" w:eastAsia="zh-CN" w:bidi="ar"/>
          <w14:textFill>
            <w14:solidFill>
              <w14:schemeClr w14:val="tx1"/>
            </w14:solidFill>
          </w14:textFill>
        </w:rPr>
        <w:t>控制价</w:t>
      </w:r>
      <w:r>
        <w:rPr>
          <w:rFonts w:hint="default" w:ascii="Times New Roman" w:hAnsi="Times New Roman" w:eastAsia="方正仿宋简体" w:cs="Times New Roman"/>
          <w:b/>
          <w:bCs/>
          <w:i w:val="0"/>
          <w:iCs w:val="0"/>
          <w:caps w:val="0"/>
          <w:color w:val="000000" w:themeColor="text1"/>
          <w:spacing w:val="0"/>
          <w:sz w:val="32"/>
          <w:szCs w:val="32"/>
          <w:highlight w:val="none"/>
          <w:u w:val="none"/>
          <w14:textFill>
            <w14:solidFill>
              <w14:schemeClr w14:val="tx1"/>
            </w14:solidFill>
          </w14:textFill>
        </w:rPr>
        <w:t>市场询价</w:t>
      </w:r>
      <w:r>
        <w:rPr>
          <w:rFonts w:hint="default" w:ascii="Times New Roman" w:hAnsi="Times New Roman" w:eastAsia="方正仿宋简体" w:cs="Times New Roman"/>
          <w:b/>
          <w:bCs/>
          <w:color w:val="000000" w:themeColor="text1"/>
          <w:kern w:val="2"/>
          <w:sz w:val="32"/>
          <w:szCs w:val="32"/>
          <w:highlight w:val="none"/>
          <w:u w:val="none"/>
          <w:lang w:val="en-US" w:eastAsia="zh-CN" w:bidi="ar-SA"/>
          <w14:textFill>
            <w14:solidFill>
              <w14:schemeClr w14:val="tx1"/>
            </w14:solidFill>
          </w14:textFill>
        </w:rPr>
        <w:t>的调研活动</w:t>
      </w:r>
      <w:r>
        <w:rPr>
          <w:rFonts w:hint="eastAsia" w:ascii="方正仿宋简体" w:hAnsi="方正仿宋简体" w:eastAsia="方正仿宋简体" w:cs="方正仿宋简体"/>
          <w:b/>
          <w:bCs/>
          <w:sz w:val="32"/>
          <w:szCs w:val="40"/>
          <w:lang w:eastAsia="zh-CN"/>
        </w:rPr>
        <w:t>（第四轮）</w:t>
      </w:r>
      <w:r>
        <w:rPr>
          <w:rFonts w:hint="default" w:ascii="Times New Roman" w:hAnsi="Times New Roman" w:eastAsia="方正仿宋简体" w:cs="Times New Roman"/>
          <w:b/>
          <w:bCs/>
          <w:color w:val="000000" w:themeColor="text1"/>
          <w:kern w:val="2"/>
          <w:sz w:val="32"/>
          <w:szCs w:val="32"/>
          <w:highlight w:val="none"/>
          <w:u w:val="none"/>
          <w:lang w:val="en-US" w:eastAsia="zh-CN" w:bidi="ar-SA"/>
          <w14:textFill>
            <w14:solidFill>
              <w14:schemeClr w14:val="tx1"/>
            </w14:solidFill>
          </w14:textFill>
        </w:rPr>
        <w:t>，现承诺我公司在参加本次市场调研前的信用记录未列入失信被执行人名单、重大税收违</w:t>
      </w:r>
      <w:r>
        <w:rPr>
          <w:rFonts w:hint="default" w:ascii="Times New Roman" w:hAnsi="Times New Roman" w:eastAsia="方正仿宋简体" w:cs="Times New Roman"/>
          <w:b/>
          <w:bCs/>
          <w:color w:val="auto"/>
          <w:kern w:val="2"/>
          <w:sz w:val="32"/>
          <w:szCs w:val="32"/>
          <w:highlight w:val="none"/>
          <w:u w:val="none"/>
          <w:lang w:val="en-US" w:eastAsia="zh-CN" w:bidi="ar-SA"/>
        </w:rPr>
        <w:t>法案件当事人名单，无政府采购严重违法失信等行为。</w:t>
      </w:r>
    </w:p>
    <w:p w14:paraId="1F44D794">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p>
    <w:p w14:paraId="4DE8D45A">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p>
    <w:p w14:paraId="52AB2BFC">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t>如违反以上承诺，本公司愿承担一切法律责任。</w:t>
      </w:r>
    </w:p>
    <w:p w14:paraId="2B7E634A">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p>
    <w:p w14:paraId="5ACC0AAB">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p>
    <w:p w14:paraId="7E2870DA">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t>供应商名称（加盖公章）：</w:t>
      </w:r>
    </w:p>
    <w:p w14:paraId="7D85ED91">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t xml:space="preserve">法定代表人/授权代表（签字）：               </w:t>
      </w:r>
    </w:p>
    <w:p w14:paraId="3252EA64">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t>日期：    年   月   日</w:t>
      </w:r>
    </w:p>
    <w:p w14:paraId="392B1F33">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default" w:ascii="Times New Roman" w:hAnsi="Times New Roman" w:eastAsia="方正小标宋简体" w:cs="Times New Roman"/>
          <w:b/>
          <w:bCs/>
          <w:color w:val="auto"/>
          <w:kern w:val="2"/>
          <w:sz w:val="44"/>
          <w:szCs w:val="44"/>
          <w:highlight w:val="none"/>
          <w:lang w:val="en-US" w:eastAsia="zh-CN" w:bidi="ar-SA"/>
        </w:rPr>
      </w:pPr>
    </w:p>
    <w:p w14:paraId="22ABFDF7">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p>
    <w:p w14:paraId="4CAEB8C6">
      <w:pPr>
        <w:rPr>
          <w:rFonts w:hint="default" w:ascii="Times New Roman" w:hAnsi="Times New Roman" w:eastAsia="方正黑体简体" w:cs="Times New Roman"/>
          <w:b/>
          <w:bCs/>
          <w:color w:val="auto"/>
          <w:kern w:val="2"/>
          <w:sz w:val="44"/>
          <w:szCs w:val="44"/>
          <w:highlight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br w:type="page"/>
      </w:r>
      <w:r>
        <w:rPr>
          <w:rFonts w:hint="default" w:ascii="Times New Roman" w:hAnsi="Times New Roman" w:eastAsia="方正黑体简体" w:cs="Times New Roman"/>
          <w:b/>
          <w:bCs/>
          <w:color w:val="auto"/>
          <w:kern w:val="2"/>
          <w:sz w:val="32"/>
          <w:szCs w:val="32"/>
          <w:highlight w:val="none"/>
          <w:lang w:val="en-US" w:eastAsia="zh-CN" w:bidi="ar-SA"/>
        </w:rPr>
        <w:t>附件</w:t>
      </w:r>
      <w:r>
        <w:rPr>
          <w:rFonts w:hint="eastAsia" w:ascii="Times New Roman" w:hAnsi="Times New Roman" w:eastAsia="方正黑体简体" w:cs="Times New Roman"/>
          <w:b/>
          <w:bCs/>
          <w:color w:val="auto"/>
          <w:kern w:val="2"/>
          <w:sz w:val="32"/>
          <w:szCs w:val="32"/>
          <w:highlight w:val="none"/>
          <w:lang w:val="en-US" w:eastAsia="zh-CN" w:bidi="ar-SA"/>
        </w:rPr>
        <w:t>3</w:t>
      </w:r>
    </w:p>
    <w:p w14:paraId="772D33AB">
      <w:pPr>
        <w:jc w:val="center"/>
        <w:rPr>
          <w:rFonts w:hint="default" w:ascii="Times New Roman" w:hAnsi="Times New Roman" w:eastAsia="方正小标宋简体" w:cs="Times New Roman"/>
          <w:b/>
          <w:bCs/>
          <w:color w:val="auto"/>
          <w:kern w:val="2"/>
          <w:sz w:val="44"/>
          <w:szCs w:val="44"/>
          <w:highlight w:val="none"/>
          <w:lang w:val="en-US" w:eastAsia="zh-CN" w:bidi="ar-SA"/>
        </w:rPr>
      </w:pPr>
      <w:r>
        <w:rPr>
          <w:rFonts w:hint="default" w:ascii="Times New Roman" w:hAnsi="Times New Roman" w:eastAsia="方正小标宋简体" w:cs="Times New Roman"/>
          <w:b/>
          <w:bCs/>
          <w:color w:val="auto"/>
          <w:kern w:val="2"/>
          <w:sz w:val="44"/>
          <w:szCs w:val="44"/>
          <w:highlight w:val="none"/>
          <w:lang w:val="en-US" w:eastAsia="zh-CN" w:bidi="ar-SA"/>
        </w:rPr>
        <w:t>承  诺  函</w:t>
      </w:r>
    </w:p>
    <w:p w14:paraId="35F3DCE4">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lang w:val="en-US" w:eastAsia="zh-CN"/>
        </w:rPr>
      </w:pPr>
    </w:p>
    <w:p w14:paraId="6EE60A68">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u w:val="none"/>
          <w:lang w:eastAsia="zh-CN"/>
        </w:rPr>
      </w:pPr>
      <w:r>
        <w:rPr>
          <w:rFonts w:hint="default" w:ascii="Times New Roman" w:hAnsi="Times New Roman" w:eastAsia="方正仿宋简体" w:cs="Times New Roman"/>
          <w:b/>
          <w:bCs/>
          <w:color w:val="auto"/>
          <w:sz w:val="32"/>
          <w:szCs w:val="32"/>
          <w:highlight w:val="none"/>
          <w:lang w:val="en-US" w:eastAsia="zh-CN"/>
        </w:rPr>
        <w:t>威远县紧密型县域医共体管理委员会</w:t>
      </w:r>
      <w:r>
        <w:rPr>
          <w:rFonts w:hint="default" w:ascii="Times New Roman" w:hAnsi="Times New Roman" w:eastAsia="方正仿宋简体" w:cs="Times New Roman"/>
          <w:b/>
          <w:bCs/>
          <w:color w:val="auto"/>
          <w:sz w:val="32"/>
          <w:szCs w:val="32"/>
          <w:highlight w:val="none"/>
          <w:u w:val="none"/>
          <w:lang w:eastAsia="zh-CN"/>
        </w:rPr>
        <w:t>：</w:t>
      </w:r>
    </w:p>
    <w:p w14:paraId="627D8B8C">
      <w:pPr>
        <w:pStyle w:val="11"/>
        <w:keepNext w:val="0"/>
        <w:keepLines w:val="0"/>
        <w:pageBreakBefore w:val="0"/>
        <w:kinsoku/>
        <w:wordWrap/>
        <w:overflowPunct/>
        <w:topLinePunct w:val="0"/>
        <w:autoSpaceDE/>
        <w:autoSpaceDN/>
        <w:bidi w:val="0"/>
        <w:adjustRightInd/>
        <w:snapToGrid/>
        <w:spacing w:line="580" w:lineRule="exact"/>
        <w:ind w:left="0" w:leftChars="0" w:right="0" w:rightChars="0" w:firstLine="643" w:firstLineChars="200"/>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我</w:t>
      </w:r>
      <w:r>
        <w:rPr>
          <w:rFonts w:hint="default" w:ascii="Times New Roman" w:hAnsi="Times New Roman" w:eastAsia="方正仿宋简体" w:cs="Times New Roman"/>
          <w:b/>
          <w:bCs/>
          <w:color w:val="auto"/>
          <w:sz w:val="32"/>
          <w:szCs w:val="32"/>
          <w:highlight w:val="none"/>
          <w:lang w:val="en-US" w:eastAsia="zh-CN"/>
        </w:rPr>
        <w:t>单位</w:t>
      </w:r>
      <w:r>
        <w:rPr>
          <w:rFonts w:hint="default" w:ascii="Times New Roman" w:hAnsi="Times New Roman" w:eastAsia="方正仿宋简体" w:cs="Times New Roman"/>
          <w:b/>
          <w:bCs/>
          <w:color w:val="auto"/>
          <w:sz w:val="32"/>
          <w:szCs w:val="32"/>
          <w:highlight w:val="none"/>
        </w:rPr>
        <w:t>作为参加本次</w:t>
      </w:r>
      <w:r>
        <w:rPr>
          <w:rFonts w:hint="default" w:ascii="Times New Roman" w:hAnsi="Times New Roman" w:eastAsia="方正仿宋简体" w:cs="Times New Roman"/>
          <w:b/>
          <w:bCs/>
          <w:color w:val="auto"/>
          <w:sz w:val="32"/>
          <w:szCs w:val="32"/>
          <w:highlight w:val="none"/>
          <w:lang w:val="en-US" w:eastAsia="zh-CN"/>
        </w:rPr>
        <w:t>项目询价</w:t>
      </w:r>
      <w:r>
        <w:rPr>
          <w:rFonts w:hint="default" w:ascii="Times New Roman" w:hAnsi="Times New Roman" w:eastAsia="方正仿宋简体" w:cs="Times New Roman"/>
          <w:b/>
          <w:bCs/>
          <w:color w:val="auto"/>
          <w:sz w:val="32"/>
          <w:szCs w:val="32"/>
          <w:highlight w:val="none"/>
        </w:rPr>
        <w:t>的</w:t>
      </w:r>
      <w:r>
        <w:rPr>
          <w:rFonts w:hint="default" w:ascii="Times New Roman" w:hAnsi="Times New Roman" w:eastAsia="方正仿宋简体" w:cs="Times New Roman"/>
          <w:b/>
          <w:bCs/>
          <w:color w:val="auto"/>
          <w:sz w:val="32"/>
          <w:szCs w:val="32"/>
          <w:highlight w:val="none"/>
          <w:lang w:val="en-US" w:eastAsia="zh-CN"/>
        </w:rPr>
        <w:t>供应商</w:t>
      </w:r>
      <w:r>
        <w:rPr>
          <w:rFonts w:hint="default" w:ascii="Times New Roman" w:hAnsi="Times New Roman" w:eastAsia="方正仿宋简体" w:cs="Times New Roman"/>
          <w:b/>
          <w:bCs/>
          <w:color w:val="auto"/>
          <w:sz w:val="32"/>
          <w:szCs w:val="32"/>
          <w:highlight w:val="none"/>
        </w:rPr>
        <w:t>，现郑重承诺：</w:t>
      </w:r>
    </w:p>
    <w:p w14:paraId="1F75BEDA">
      <w:pPr>
        <w:keepNext w:val="0"/>
        <w:keepLines w:val="0"/>
        <w:pageBreakBefore w:val="0"/>
        <w:widowControl/>
        <w:numPr>
          <w:ilvl w:val="0"/>
          <w:numId w:val="2"/>
        </w:numPr>
        <w:kinsoku/>
        <w:wordWrap/>
        <w:overflowPunct/>
        <w:topLinePunct w:val="0"/>
        <w:autoSpaceDE/>
        <w:autoSpaceDN/>
        <w:bidi w:val="0"/>
        <w:adjustRightInd/>
        <w:snapToGrid/>
        <w:spacing w:line="580" w:lineRule="exact"/>
        <w:ind w:left="0" w:leftChars="0" w:right="0" w:rightChars="0" w:firstLine="643" w:firstLineChars="200"/>
        <w:jc w:val="left"/>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 xml:space="preserve">具有独立承担民事责任的能力；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xml:space="preserve">　　（二）具有良好的商业信誉和健全的财务会计制度；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xml:space="preserve">　　（三）具有履行合同所必需的设备和专业技术能力；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xml:space="preserve">　　（四）有依法缴纳税收和社会保障资金的良好记录；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（五）参加</w:t>
      </w:r>
      <w:r>
        <w:rPr>
          <w:rFonts w:hint="default" w:ascii="Times New Roman" w:hAnsi="Times New Roman" w:eastAsia="方正仿宋简体" w:cs="Times New Roman"/>
          <w:b/>
          <w:bCs/>
          <w:color w:val="auto"/>
          <w:sz w:val="32"/>
          <w:szCs w:val="32"/>
          <w:highlight w:val="none"/>
          <w:lang w:val="en-US" w:eastAsia="zh-CN"/>
        </w:rPr>
        <w:t>询价</w:t>
      </w:r>
      <w:r>
        <w:rPr>
          <w:rFonts w:hint="default" w:ascii="Times New Roman" w:hAnsi="Times New Roman" w:eastAsia="方正仿宋简体" w:cs="Times New Roman"/>
          <w:b/>
          <w:bCs/>
          <w:color w:val="auto"/>
          <w:sz w:val="32"/>
          <w:szCs w:val="32"/>
          <w:highlight w:val="none"/>
          <w:lang w:eastAsia="zh-CN"/>
        </w:rPr>
        <w:t>活动</w:t>
      </w:r>
      <w:r>
        <w:rPr>
          <w:rFonts w:hint="default" w:ascii="Times New Roman" w:hAnsi="Times New Roman" w:eastAsia="方正仿宋简体" w:cs="Times New Roman"/>
          <w:b/>
          <w:bCs/>
          <w:color w:val="auto"/>
          <w:sz w:val="32"/>
          <w:szCs w:val="32"/>
          <w:highlight w:val="none"/>
        </w:rPr>
        <w:t>前三年内，在经营活动中没有重大违法记录。</w:t>
      </w:r>
    </w:p>
    <w:p w14:paraId="46D7F75A">
      <w:pPr>
        <w:keepNext w:val="0"/>
        <w:keepLines w:val="0"/>
        <w:pageBreakBefore w:val="0"/>
        <w:widowControl/>
        <w:numPr>
          <w:ilvl w:val="0"/>
          <w:numId w:val="0"/>
        </w:numPr>
        <w:kinsoku/>
        <w:wordWrap/>
        <w:overflowPunct/>
        <w:topLinePunct w:val="0"/>
        <w:autoSpaceDE/>
        <w:autoSpaceDN/>
        <w:bidi w:val="0"/>
        <w:adjustRightInd/>
        <w:snapToGrid/>
        <w:spacing w:line="580" w:lineRule="exact"/>
        <w:ind w:right="0" w:rightChars="0"/>
        <w:jc w:val="left"/>
        <w:textAlignment w:val="auto"/>
        <w:outlineLvl w:val="9"/>
        <w:rPr>
          <w:rFonts w:hint="default" w:ascii="Times New Roman" w:hAnsi="Times New Roman" w:eastAsia="方正仿宋简体" w:cs="Times New Roman"/>
          <w:b/>
          <w:bCs/>
          <w:color w:val="auto"/>
          <w:sz w:val="32"/>
          <w:szCs w:val="32"/>
          <w:highlight w:val="none"/>
          <w:lang w:val="en-US" w:eastAsia="zh-CN"/>
        </w:rPr>
      </w:pPr>
      <w:r>
        <w:rPr>
          <w:rFonts w:hint="default" w:ascii="Times New Roman" w:hAnsi="Times New Roman" w:eastAsia="方正仿宋简体" w:cs="Times New Roman"/>
          <w:b/>
          <w:bCs/>
          <w:color w:val="auto"/>
          <w:sz w:val="32"/>
          <w:szCs w:val="32"/>
          <w:highlight w:val="none"/>
          <w:lang w:val="en-US" w:eastAsia="zh-CN"/>
        </w:rPr>
        <w:t xml:space="preserve">    （六）我公司</w:t>
      </w:r>
      <w:r>
        <w:rPr>
          <w:rFonts w:hint="default" w:ascii="Times New Roman" w:hAnsi="Times New Roman" w:eastAsia="方正仿宋简体" w:cs="Times New Roman"/>
          <w:b/>
          <w:bCs/>
          <w:i w:val="0"/>
          <w:iCs w:val="0"/>
          <w:caps w:val="0"/>
          <w:color w:val="auto"/>
          <w:spacing w:val="0"/>
          <w:sz w:val="32"/>
          <w:szCs w:val="32"/>
          <w:highlight w:val="none"/>
        </w:rPr>
        <w:t>法定代表人、控股股东或实际控制人与</w:t>
      </w:r>
      <w:r>
        <w:rPr>
          <w:rFonts w:hint="default" w:ascii="Times New Roman" w:hAnsi="Times New Roman" w:eastAsia="方正仿宋简体" w:cs="Times New Roman"/>
          <w:b/>
          <w:bCs/>
          <w:i w:val="0"/>
          <w:iCs w:val="0"/>
          <w:caps w:val="0"/>
          <w:color w:val="auto"/>
          <w:spacing w:val="0"/>
          <w:sz w:val="32"/>
          <w:szCs w:val="32"/>
          <w:highlight w:val="none"/>
          <w:lang w:val="en-US" w:eastAsia="zh-CN"/>
        </w:rPr>
        <w:t>贵</w:t>
      </w:r>
      <w:r>
        <w:rPr>
          <w:rFonts w:hint="default" w:ascii="Times New Roman" w:hAnsi="Times New Roman" w:eastAsia="方正仿宋简体" w:cs="Times New Roman"/>
          <w:b/>
          <w:bCs/>
          <w:i w:val="0"/>
          <w:iCs w:val="0"/>
          <w:caps w:val="0"/>
          <w:color w:val="auto"/>
          <w:spacing w:val="0"/>
          <w:sz w:val="32"/>
          <w:szCs w:val="32"/>
          <w:highlight w:val="none"/>
          <w:lang w:eastAsia="zh-CN"/>
        </w:rPr>
        <w:t>单位</w:t>
      </w:r>
      <w:r>
        <w:rPr>
          <w:rFonts w:hint="default" w:ascii="Times New Roman" w:hAnsi="Times New Roman" w:eastAsia="方正仿宋简体" w:cs="Times New Roman"/>
          <w:b/>
          <w:bCs/>
          <w:i w:val="0"/>
          <w:iCs w:val="0"/>
          <w:caps w:val="0"/>
          <w:color w:val="auto"/>
          <w:spacing w:val="0"/>
          <w:sz w:val="32"/>
          <w:szCs w:val="32"/>
          <w:highlight w:val="none"/>
        </w:rPr>
        <w:t>高管人员及使用需求部门、采购部门关键岗位人员无夫妻、直系血亲、三代以内旁系血亲或者近姻亲关系</w:t>
      </w:r>
      <w:r>
        <w:rPr>
          <w:rFonts w:hint="default" w:ascii="Times New Roman" w:hAnsi="Times New Roman" w:eastAsia="方正仿宋简体" w:cs="Times New Roman"/>
          <w:b/>
          <w:bCs/>
          <w:i w:val="0"/>
          <w:iCs w:val="0"/>
          <w:caps w:val="0"/>
          <w:color w:val="auto"/>
          <w:spacing w:val="0"/>
          <w:sz w:val="32"/>
          <w:szCs w:val="32"/>
          <w:highlight w:val="none"/>
          <w:lang w:eastAsia="zh-CN"/>
        </w:rPr>
        <w:t>。</w:t>
      </w:r>
    </w:p>
    <w:p w14:paraId="09469708">
      <w:pPr>
        <w:pStyle w:val="11"/>
        <w:keepNext w:val="0"/>
        <w:keepLines w:val="0"/>
        <w:pageBreakBefore w:val="0"/>
        <w:kinsoku/>
        <w:wordWrap/>
        <w:overflowPunct/>
        <w:topLinePunct w:val="0"/>
        <w:autoSpaceDE/>
        <w:autoSpaceDN/>
        <w:bidi w:val="0"/>
        <w:adjustRightInd/>
        <w:snapToGrid/>
        <w:spacing w:line="580" w:lineRule="exact"/>
        <w:ind w:left="0" w:leftChars="0" w:right="0" w:rightChars="0" w:firstLine="643" w:firstLineChars="200"/>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本公司</w:t>
      </w:r>
      <w:r>
        <w:rPr>
          <w:rFonts w:hint="default" w:ascii="Times New Roman" w:hAnsi="Times New Roman" w:eastAsia="方正仿宋简体" w:cs="Times New Roman"/>
          <w:b/>
          <w:bCs/>
          <w:color w:val="auto"/>
          <w:sz w:val="32"/>
          <w:szCs w:val="32"/>
          <w:highlight w:val="none"/>
          <w:lang w:val="en-US" w:eastAsia="zh-CN"/>
        </w:rPr>
        <w:t>保证以上信息真实无误。如作虚假承诺，贵单位有权取消我方资格或解除合同，我方愿承担由此引发的一切法律责任。</w:t>
      </w:r>
    </w:p>
    <w:p w14:paraId="4706F491">
      <w:pPr>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eastAsia="方正仿宋简体" w:cs="Times New Roman"/>
          <w:b/>
          <w:bCs/>
          <w:color w:val="auto"/>
          <w:sz w:val="32"/>
          <w:szCs w:val="32"/>
          <w:highlight w:val="none"/>
        </w:rPr>
      </w:pPr>
    </w:p>
    <w:p w14:paraId="010CA441">
      <w:pPr>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eastAsia="方正仿宋简体" w:cs="Times New Roman"/>
          <w:b/>
          <w:bCs/>
          <w:color w:val="auto"/>
          <w:sz w:val="32"/>
          <w:szCs w:val="32"/>
          <w:highlight w:val="none"/>
        </w:rPr>
      </w:pPr>
    </w:p>
    <w:p w14:paraId="2F6EF794">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t>供应商名称（加盖公章）：</w:t>
      </w:r>
    </w:p>
    <w:p w14:paraId="0ABD057A">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t>法定代表人/授权代表（签字）：</w:t>
      </w:r>
    </w:p>
    <w:p w14:paraId="455E3672">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t>日期：    年   月   日</w:t>
      </w:r>
    </w:p>
    <w:p w14:paraId="1A43BF42">
      <w:pPr>
        <w:pStyle w:val="2"/>
        <w:rPr>
          <w:rFonts w:hint="default"/>
          <w:lang w:val="en-US" w:eastAsia="zh-CN"/>
        </w:rPr>
        <w:sectPr>
          <w:footerReference r:id="rId4" w:type="default"/>
          <w:pgSz w:w="11906" w:h="16838"/>
          <w:pgMar w:top="2098" w:right="1531" w:bottom="1928" w:left="1531" w:header="851" w:footer="1587" w:gutter="0"/>
          <w:pgNumType w:fmt="decimal"/>
          <w:cols w:space="425" w:num="1"/>
          <w:docGrid w:type="lines" w:linePitch="312" w:charSpace="0"/>
        </w:sectPr>
      </w:pPr>
    </w:p>
    <w:p w14:paraId="557A2AB3">
      <w:pPr>
        <w:jc w:val="both"/>
        <w:rPr>
          <w:rFonts w:hint="default" w:ascii="Times New Roman" w:hAnsi="Times New Roman" w:eastAsia="方正黑体简体" w:cs="Times New Roman"/>
          <w:b/>
          <w:bCs/>
          <w:color w:val="auto"/>
          <w:kern w:val="2"/>
          <w:sz w:val="44"/>
          <w:szCs w:val="44"/>
          <w:highlight w:val="none"/>
          <w:lang w:val="en-US" w:eastAsia="zh-CN" w:bidi="ar-SA"/>
        </w:rPr>
      </w:pPr>
      <w:r>
        <w:rPr>
          <w:rFonts w:hint="default" w:ascii="Times New Roman" w:hAnsi="Times New Roman" w:eastAsia="方正黑体简体" w:cs="Times New Roman"/>
          <w:b/>
          <w:bCs/>
          <w:color w:val="auto"/>
          <w:kern w:val="2"/>
          <w:sz w:val="32"/>
          <w:szCs w:val="32"/>
          <w:highlight w:val="none"/>
          <w:lang w:val="en-US" w:eastAsia="zh-CN" w:bidi="ar-SA"/>
        </w:rPr>
        <w:t>附件</w:t>
      </w:r>
      <w:r>
        <w:rPr>
          <w:rFonts w:hint="eastAsia" w:ascii="Times New Roman" w:hAnsi="Times New Roman" w:eastAsia="方正黑体简体" w:cs="Times New Roman"/>
          <w:b/>
          <w:bCs/>
          <w:color w:val="auto"/>
          <w:kern w:val="2"/>
          <w:sz w:val="32"/>
          <w:szCs w:val="32"/>
          <w:highlight w:val="none"/>
          <w:lang w:val="en-US" w:eastAsia="zh-CN" w:bidi="ar-SA"/>
        </w:rPr>
        <w:t>4</w:t>
      </w:r>
    </w:p>
    <w:p w14:paraId="281F95CA">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default" w:ascii="Times New Roman" w:hAnsi="Times New Roman" w:eastAsia="方正小标宋简体" w:cs="Times New Roman"/>
          <w:b/>
          <w:bCs w:val="0"/>
          <w:color w:val="auto"/>
          <w:sz w:val="36"/>
          <w:szCs w:val="36"/>
          <w:lang w:val="en-US" w:eastAsia="zh-CN"/>
        </w:rPr>
      </w:pPr>
    </w:p>
    <w:p w14:paraId="2152ECB5">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default" w:ascii="Times New Roman" w:hAnsi="Times New Roman" w:cs="Times New Roman"/>
          <w:lang w:val="en-US" w:eastAsia="zh-CN"/>
        </w:rPr>
      </w:pPr>
      <w:r>
        <w:rPr>
          <w:rFonts w:hint="default" w:ascii="Times New Roman" w:hAnsi="Times New Roman" w:eastAsia="方正小标宋简体" w:cs="Times New Roman"/>
          <w:b/>
          <w:bCs w:val="0"/>
          <w:color w:val="auto"/>
          <w:sz w:val="36"/>
          <w:szCs w:val="36"/>
          <w:lang w:val="en-US" w:eastAsia="zh-CN"/>
        </w:rPr>
        <w:t>威远县山王镇卫生院能力提升建设</w:t>
      </w:r>
      <w:r>
        <w:rPr>
          <w:rFonts w:hint="eastAsia" w:ascii="Times New Roman" w:hAnsi="Times New Roman" w:eastAsia="方正小标宋简体" w:cs="Times New Roman"/>
          <w:b/>
          <w:bCs w:val="0"/>
          <w:color w:val="auto"/>
          <w:sz w:val="36"/>
          <w:szCs w:val="36"/>
          <w:lang w:val="en-US" w:eastAsia="zh-CN"/>
        </w:rPr>
        <w:t>监控系统改造升级</w:t>
      </w:r>
      <w:r>
        <w:rPr>
          <w:rFonts w:hint="default" w:ascii="Times New Roman" w:hAnsi="Times New Roman" w:eastAsia="方正小标宋简体" w:cs="Times New Roman"/>
          <w:b/>
          <w:bCs w:val="0"/>
          <w:color w:val="auto"/>
          <w:sz w:val="36"/>
          <w:szCs w:val="36"/>
          <w:lang w:val="en-US" w:eastAsia="zh-CN"/>
        </w:rPr>
        <w:t>需求</w:t>
      </w:r>
      <w:r>
        <w:rPr>
          <w:rFonts w:hint="eastAsia" w:ascii="Times New Roman" w:hAnsi="Times New Roman" w:eastAsia="方正小标宋简体" w:cs="Times New Roman"/>
          <w:b/>
          <w:bCs w:val="0"/>
          <w:color w:val="auto"/>
          <w:sz w:val="36"/>
          <w:szCs w:val="36"/>
          <w:lang w:val="en-US" w:eastAsia="zh-CN"/>
        </w:rPr>
        <w:t>控制价报价单</w:t>
      </w:r>
    </w:p>
    <w:tbl>
      <w:tblPr>
        <w:tblStyle w:val="8"/>
        <w:tblW w:w="493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CellMar>
          <w:top w:w="0" w:type="dxa"/>
          <w:left w:w="108" w:type="dxa"/>
          <w:bottom w:w="0" w:type="dxa"/>
          <w:right w:w="108" w:type="dxa"/>
        </w:tblCellMar>
      </w:tblPr>
      <w:tblGrid>
        <w:gridCol w:w="543"/>
        <w:gridCol w:w="2086"/>
        <w:gridCol w:w="4842"/>
        <w:gridCol w:w="915"/>
        <w:gridCol w:w="1125"/>
        <w:gridCol w:w="1845"/>
        <w:gridCol w:w="1650"/>
        <w:gridCol w:w="2"/>
      </w:tblGrid>
      <w:tr w14:paraId="60A47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Pr>
        <w:tc>
          <w:tcPr>
            <w:tcW w:w="208"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5F084B46">
            <w:pPr>
              <w:spacing w:beforeAutospacing="0" w:afterAutospacing="0"/>
              <w:ind w:right="0" w:rightChars="0"/>
              <w:jc w:val="center"/>
              <w:rPr>
                <w:rFonts w:hint="eastAsia" w:eastAsia="宋体"/>
                <w:b/>
                <w:color w:val="auto"/>
                <w:shd w:val="clear" w:color="auto" w:fill="auto"/>
                <w:lang w:val="en-US" w:eastAsia="zh-CN"/>
              </w:rPr>
            </w:pPr>
            <w:r>
              <w:rPr>
                <w:rFonts w:hint="eastAsia"/>
                <w:b/>
                <w:color w:val="auto"/>
                <w:shd w:val="clear" w:color="auto" w:fill="auto"/>
                <w:lang w:val="en-US" w:eastAsia="zh-CN"/>
              </w:rPr>
              <w:t>序号</w:t>
            </w:r>
          </w:p>
        </w:tc>
        <w:tc>
          <w:tcPr>
            <w:tcW w:w="801"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3BA0B840">
            <w:pPr>
              <w:spacing w:beforeAutospacing="0" w:afterAutospacing="0"/>
              <w:ind w:right="0" w:rightChars="0"/>
              <w:jc w:val="center"/>
              <w:rPr>
                <w:b/>
                <w:color w:val="auto"/>
                <w:shd w:val="clear" w:color="auto" w:fill="auto"/>
              </w:rPr>
            </w:pPr>
            <w:r>
              <w:rPr>
                <w:b/>
                <w:color w:val="auto"/>
                <w:shd w:val="clear" w:color="auto" w:fill="auto"/>
              </w:rPr>
              <w:t>设备名称</w:t>
            </w:r>
          </w:p>
        </w:tc>
        <w:tc>
          <w:tcPr>
            <w:tcW w:w="1861"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60EFFF9A">
            <w:pPr>
              <w:spacing w:beforeAutospacing="0" w:afterAutospacing="0"/>
              <w:ind w:right="0" w:rightChars="0"/>
              <w:jc w:val="center"/>
              <w:rPr>
                <w:b/>
                <w:color w:val="auto"/>
                <w:kern w:val="2"/>
                <w:sz w:val="21"/>
                <w:szCs w:val="24"/>
                <w:shd w:val="clear" w:color="auto" w:fill="auto"/>
                <w:lang w:val="en-US" w:eastAsia="zh-CN" w:bidi="ar-SA"/>
              </w:rPr>
            </w:pPr>
            <w:r>
              <w:rPr>
                <w:rFonts w:hint="eastAsia"/>
                <w:b/>
                <w:color w:val="auto"/>
                <w:shd w:val="clear" w:color="auto" w:fill="auto"/>
                <w:lang w:val="en-US" w:eastAsia="zh-CN"/>
              </w:rPr>
              <w:t>采购需求</w:t>
            </w:r>
          </w:p>
        </w:tc>
        <w:tc>
          <w:tcPr>
            <w:tcW w:w="351"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34263E1B">
            <w:pPr>
              <w:spacing w:beforeAutospacing="0" w:afterAutospacing="0"/>
              <w:ind w:right="0" w:rightChars="0"/>
              <w:jc w:val="center"/>
              <w:rPr>
                <w:rFonts w:hint="default" w:eastAsia="宋体"/>
                <w:b/>
                <w:color w:val="auto"/>
                <w:kern w:val="2"/>
                <w:sz w:val="21"/>
                <w:szCs w:val="24"/>
                <w:shd w:val="clear" w:color="auto" w:fill="auto"/>
                <w:lang w:val="en-US" w:eastAsia="zh-CN" w:bidi="ar-SA"/>
              </w:rPr>
            </w:pPr>
            <w:r>
              <w:rPr>
                <w:rFonts w:hint="eastAsia" w:eastAsia="宋体"/>
                <w:b/>
                <w:color w:val="auto"/>
                <w:kern w:val="2"/>
                <w:sz w:val="21"/>
                <w:szCs w:val="24"/>
                <w:shd w:val="clear" w:color="auto" w:fill="auto"/>
                <w:lang w:val="en-US" w:eastAsia="zh-CN" w:bidi="ar-SA"/>
              </w:rPr>
              <w:t>数量</w:t>
            </w:r>
          </w:p>
        </w:tc>
        <w:tc>
          <w:tcPr>
            <w:tcW w:w="432"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69267F1A">
            <w:pPr>
              <w:spacing w:beforeAutospacing="0" w:afterAutospacing="0"/>
              <w:ind w:right="0" w:rightChars="0"/>
              <w:jc w:val="center"/>
              <w:rPr>
                <w:rFonts w:hint="default" w:eastAsia="宋体"/>
                <w:b/>
                <w:color w:val="auto"/>
                <w:kern w:val="2"/>
                <w:sz w:val="21"/>
                <w:szCs w:val="24"/>
                <w:shd w:val="clear" w:color="auto" w:fill="auto"/>
                <w:lang w:val="en-US" w:eastAsia="zh-CN" w:bidi="ar-SA"/>
              </w:rPr>
            </w:pPr>
            <w:r>
              <w:rPr>
                <w:rFonts w:hint="eastAsia" w:eastAsia="宋体"/>
                <w:b/>
                <w:color w:val="auto"/>
                <w:kern w:val="2"/>
                <w:sz w:val="21"/>
                <w:szCs w:val="24"/>
                <w:shd w:val="clear" w:color="auto" w:fill="auto"/>
                <w:lang w:val="en-US" w:eastAsia="zh-CN" w:bidi="ar-SA"/>
              </w:rPr>
              <w:t>规格</w:t>
            </w:r>
          </w:p>
        </w:tc>
        <w:tc>
          <w:tcPr>
            <w:tcW w:w="709"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5984EEE7">
            <w:pPr>
              <w:spacing w:beforeAutospacing="0" w:afterAutospacing="0"/>
              <w:ind w:right="0" w:rightChars="0"/>
              <w:jc w:val="center"/>
              <w:rPr>
                <w:rFonts w:hint="default" w:eastAsia="宋体"/>
                <w:b/>
                <w:color w:val="auto"/>
                <w:kern w:val="2"/>
                <w:sz w:val="21"/>
                <w:szCs w:val="24"/>
                <w:shd w:val="clear" w:color="auto" w:fill="auto"/>
                <w:lang w:val="en-US" w:eastAsia="zh-CN" w:bidi="ar-SA"/>
              </w:rPr>
            </w:pPr>
            <w:r>
              <w:rPr>
                <w:rFonts w:hint="eastAsia" w:eastAsia="宋体"/>
                <w:b/>
                <w:color w:val="auto"/>
                <w:kern w:val="2"/>
                <w:sz w:val="21"/>
                <w:szCs w:val="24"/>
                <w:shd w:val="clear" w:color="auto" w:fill="auto"/>
                <w:lang w:val="en-US" w:eastAsia="zh-CN" w:bidi="ar-SA"/>
              </w:rPr>
              <w:t>单价（元）</w:t>
            </w:r>
          </w:p>
        </w:tc>
        <w:tc>
          <w:tcPr>
            <w:tcW w:w="634"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64310B9E">
            <w:pPr>
              <w:spacing w:beforeAutospacing="0" w:afterAutospacing="0"/>
              <w:ind w:right="0"/>
              <w:jc w:val="center"/>
              <w:rPr>
                <w:rFonts w:hint="default" w:eastAsia="宋体"/>
                <w:b/>
                <w:color w:val="auto"/>
                <w:shd w:val="clear" w:color="auto" w:fill="auto"/>
                <w:lang w:val="en-US" w:eastAsia="zh-CN"/>
              </w:rPr>
            </w:pPr>
            <w:r>
              <w:rPr>
                <w:rFonts w:hint="eastAsia"/>
                <w:b/>
                <w:color w:val="auto"/>
                <w:shd w:val="clear" w:color="auto" w:fill="auto"/>
                <w:lang w:val="en-US" w:eastAsia="zh-CN"/>
              </w:rPr>
              <w:t>金额（元）</w:t>
            </w:r>
          </w:p>
        </w:tc>
      </w:tr>
      <w:tr w14:paraId="1DD37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restart"/>
            <w:tcBorders>
              <w:top w:val="single" w:color="auto" w:sz="4" w:space="0"/>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149B3E37">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w:t>
            </w:r>
          </w:p>
        </w:tc>
        <w:tc>
          <w:tcPr>
            <w:tcW w:w="2086" w:type="dxa"/>
            <w:vMerge w:val="restart"/>
            <w:tcBorders>
              <w:top w:val="single" w:color="auto" w:sz="4" w:space="0"/>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7002E041">
            <w:pPr>
              <w:spacing w:beforeAutospacing="0" w:afterAutospacing="0"/>
              <w:ind w:right="0" w:rightChars="0"/>
              <w:jc w:val="center"/>
              <w:rPr>
                <w:rFonts w:hint="default" w:ascii="Times New Roman" w:hAnsi="Times New Roman" w:eastAsia="方正仿宋简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监控系统改造升级</w:t>
            </w: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B10F54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left"/>
              <w:textAlignment w:val="auto"/>
              <w:rPr>
                <w:rFonts w:hint="default" w:ascii="Times New Roman" w:hAnsi="Times New Roman" w:eastAsia="方正仿宋简体" w:cs="Times New Roman"/>
                <w:b/>
                <w:bCs/>
                <w:color w:val="000000" w:themeColor="text1"/>
                <w:sz w:val="21"/>
                <w:szCs w:val="21"/>
                <w:lang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64路NVR录像机</w:t>
            </w:r>
            <w:r>
              <w:rPr>
                <w:rFonts w:hint="default" w:ascii="Times New Roman" w:hAnsi="Times New Roman" w:eastAsia="方正仿宋简体" w:cs="Times New Roman"/>
                <w:b/>
                <w:bCs/>
                <w:color w:val="000000" w:themeColor="text1"/>
                <w:sz w:val="21"/>
                <w:szCs w:val="21"/>
                <w:lang w:eastAsia="zh-CN"/>
                <w14:textFill>
                  <w14:solidFill>
                    <w14:schemeClr w14:val="tx1"/>
                  </w14:solidFill>
                </w14:textFill>
              </w:rPr>
              <w:t>：</w:t>
            </w:r>
          </w:p>
          <w:p w14:paraId="107DAAA1">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硬件规格：3U机架式结构，16个SATA硬盘接口，支持硬盘热插拔，最大支持20TB大容量硬盘；配备2路HDMI、2路VGA视频输出接口，2个千兆自适应以太网口，16路报警输入、4路报警输出，具备RS-232、RS-485串行接口，多组USB2.0、USB3.0接口。2、性能参数：视频输入带宽≥384Mbps，输出带宽≥256Mbps，支持64路H.264、H.265高清码流接入；最大支持32路1080P解码，支持8K+1080P、双4K异源输出。3、存储功能：支持RAID0、RAID1、RAID5、RAID6、RAID10阵列模式，支持全局热备盘，支持监控级、企业级硬盘组建阵列，保障数据安全。4、基础功能：支持录像回放、智能侦测、异常告警、硬盘故障检测、设备远程管理等功能，适配7×24小时不间断运行。</w:t>
            </w:r>
          </w:p>
          <w:p w14:paraId="7A6FDED3">
            <w:pPr>
              <w:pStyle w:val="2"/>
              <w:rPr>
                <w:rFonts w:hint="default" w:ascii="Times New Roman" w:hAnsi="Times New Roman" w:eastAsia="方正仿宋简体" w:cs="Times New Roman"/>
                <w:b/>
                <w:bCs/>
                <w:color w:val="000000" w:themeColor="text1"/>
                <w:kern w:val="2"/>
                <w:sz w:val="21"/>
                <w:szCs w:val="21"/>
                <w:lang w:val="en-US" w:eastAsia="zh-CN" w:bidi="ar-SA"/>
                <w14:textFill>
                  <w14:solidFill>
                    <w14:schemeClr w14:val="tx1"/>
                  </w14:solidFill>
                </w14:textFill>
              </w:rPr>
            </w:pP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454FD84">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073E7C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CB1C27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kern w:val="2"/>
                <w:sz w:val="21"/>
                <w:szCs w:val="21"/>
                <w:lang w:val="en-US" w:eastAsia="zh-CN" w:bidi="ar-SA"/>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333643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36431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4E1D9B36">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664FE44E">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8A9B875">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left"/>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32路NVR录像机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23867C8D">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硬件规格：3U机架式结构，16个SATA硬盘接口，支持硬盘热插拔，最大支持20TB大容量硬盘；配备2路HDMI、2路VGA视频输出接口，2个千兆自适应以太网口，16路报警输入、4路报警输出，具备RS-232、RS-485串行接口，多组USB2.0、USB3.0接口。2、性能参数：视频输入带宽≥320Mbps，输出带宽≥256Mbps，支持32路H.264、H.265高清码流接入；最大支持32路1080P解码，支持8K+1080P、双4K异源输出。3、存储功能：支持RAID0、RAID1、RAID5、RAID6、RAID10阵列模式，支持全局热备盘，支持监控级、企业级硬盘组建阵列。4、基础功能：支持全天候录像、智能侦测、告警联动、硬盘异常预警、远程运维等功能。</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E8F873B">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5960EB6">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4E5B45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kern w:val="2"/>
                <w:sz w:val="21"/>
                <w:szCs w:val="21"/>
                <w:lang w:val="en-US" w:eastAsia="zh-CN" w:bidi="ar-SA"/>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3E5C232">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3660F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523FB946">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2FAE127">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3F1454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left"/>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20TB监控级硬盘，满足录像存储保存 90 天以上业务需求</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5F37ACFA">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容量 20TB（十进制，系统识别≈18.1TB） </w:t>
            </w:r>
          </w:p>
          <w:p w14:paraId="51B688AA">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记录方式：采用 CMR 垂直记录技术，禁止 SMR 叠瓦式记录 </w:t>
            </w:r>
          </w:p>
          <w:p w14:paraId="16B24153">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接口规格：SATA 接口，速率≥6Gb/s（SATA3.0） </w:t>
            </w:r>
          </w:p>
          <w:p w14:paraId="7051A5B8">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转速 </w:t>
            </w:r>
            <w:r>
              <w:rPr>
                <w:rFonts w:hint="default" w:ascii="Times New Roman" w:hAnsi="Times New Roman" w:eastAsia="方正仿宋简体" w:cs="Times New Roman"/>
                <w:b/>
                <w:bCs/>
                <w:color w:val="000000" w:themeColor="text1"/>
                <w:sz w:val="21"/>
                <w:szCs w:val="21"/>
                <w14:textFill>
                  <w14:solidFill>
                    <w14:schemeClr w14:val="tx1"/>
                  </w14:solidFill>
                </w14:textFill>
              </w:rPr>
              <w:t>≥7200RPM</w:t>
            </w: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 </w:t>
            </w:r>
          </w:p>
          <w:p w14:paraId="48F462E8">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高速缓存：≥256MB </w:t>
            </w:r>
          </w:p>
          <w:p w14:paraId="39DC616F">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持续读取速度：≥270MB/s </w:t>
            </w:r>
          </w:p>
          <w:p w14:paraId="777C633B">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扇区模式：支持 512e /4Kn 双兼容</w:t>
            </w:r>
          </w:p>
          <w:p w14:paraId="4CC87E80">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密封工艺：氦气密封</w:t>
            </w: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 </w:t>
            </w:r>
          </w:p>
          <w:p w14:paraId="1D038D8F">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硬盘规格：3.5 英寸 </w:t>
            </w:r>
          </w:p>
          <w:p w14:paraId="42229651">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工作温度 5℃～60℃ </w:t>
            </w:r>
          </w:p>
          <w:p w14:paraId="66EC4CAB">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功耗：待机功耗≤7W，工作状态功耗≤14W</w:t>
            </w: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 </w:t>
            </w:r>
          </w:p>
          <w:p w14:paraId="3A770101">
            <w:pPr>
              <w:pStyle w:val="2"/>
              <w:numPr>
                <w:ilvl w:val="0"/>
                <w:numId w:val="1"/>
              </w:numPr>
              <w:ind w:left="20" w:leftChars="0" w:firstLine="400" w:firstLineChars="0"/>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功能要求：支持硬件级数据即时安全擦除；支持功耗动态优化调节；内置环境状态传感器；支持热插拔功能</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81D396A">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9</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607E6EE">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E6FC5C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7D55204">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123DF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4ABE301A">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6383DC48">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371707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400万高清双光枪型摄像机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0F0F3085">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成像参数：有效像素≥400万，最高支持2560×1440@25fps实时录像。2、补光功能：支持红外、白光双光智能切换补光，SmartIR红外防过曝技术，夜间成像清晰无光晕。3、图像处理：具备背光补偿、强光抑制、3D数字降噪、数字宽动态功能，适配逆光、强光、弱光复杂场景。4、硬件配置：内置高清拾音麦克风，支持实时录音；支持POE供电，适配室外施工布线。5、防护等级：IP67防尘防水，适应户外高低温、雨雪、粉尘环境。6、协议兼容：支持ISAPI、SDK、GB28181国标协议，可无缝对接平台。</w:t>
            </w:r>
          </w:p>
          <w:p w14:paraId="3A172224">
            <w:pPr>
              <w:pStyle w:val="2"/>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C9FF4AB">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32</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D90094A">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F092B5C">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C10A67D">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3E5AE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1754DD69">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466978C4">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C902AE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200万高清双光枪型摄像机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2830F7A8">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成像参数：有效像素≥200万，最高支持1920×1080@25fps实时高清录像。2、智能侦测：支持人形检测、移动侦测、异常行为侦测，可触发告警联动。3、图像优化：具备背光补偿、强光抑制、3D数字降噪、宽动态技术，适配复杂监控场景。4、补光与音频：红外+白光双智能补光，日夜自动切换；内置麦克风，支持现场录音。5、防护性能：IP67防尘防水等级，耐高低温、抗老化，适配室内外场景。6、协议兼容：支持国标GB28181协议，兼容主流监控平台。</w:t>
            </w:r>
          </w:p>
          <w:p w14:paraId="3368C177">
            <w:pPr>
              <w:pStyle w:val="2"/>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566CF02">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35</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AC1F09A">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664A67B">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5122092">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47A89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21BAC083">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C45602C">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CA5165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200万防爆摄像机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18B2053D">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1、防爆等级：防爆标志不低于Ex db IIC T6 Gb/Ex tb IIIC T80℃ Db，具备国家认可的防爆合格证书。2、防护等级：IP66/IP68防尘防水，可长期在潮湿、多尘、高危环境运行。3、成像性能：200万高清像素，1920×1080@25fps录像，支持Smart265智能编码、低码率传输、ROI区域增强编码。4、补光与画质：双色长效补光灯，有效照射距离≥60米，ICR日夜自动切换，120dB超宽动态、3D降噪，支持走廊模式、背光补偿。5、供电方式：支持AC100-240V市电、POE双供电模式。6、协议与功能：支持GB28181、FTP、NTP服务，支持事件告警、远程管理。7、材质：高强度铝合金防爆外壳，抗冲击、耐腐蚀。</w:t>
            </w:r>
          </w:p>
          <w:p w14:paraId="5B9CADCE">
            <w:pPr>
              <w:pStyle w:val="2"/>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F630101">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68F04BE">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DEE76ED">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5BA7D2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7F556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73CAEBB6">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177ED6A3">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72BD6A5">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8口千兆交换机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430E3BA8">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端口规格：≥8个10/100/1000Mbps自适应千兆电口，非网管即插即用，无需配置。2、性能参数：交换容量≥16Gbps，包转发率≥12Mpps，满足多路高清视频同时传输无卡顿。3、防护性能：业务端口支持≥4kV防雷防护，适配户外、弱电箱复杂用电环境。4、设备特性：塑壳轻量化设计，功耗低、稳定性高，支持7×24小时不间断运行。</w:t>
            </w:r>
          </w:p>
          <w:p w14:paraId="629CDA42">
            <w:pPr>
              <w:pStyle w:val="2"/>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1BE58DB">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8</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EB7906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DC641F6">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000910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596F3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0B69EAB3">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7A6721AF">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F68C68D">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5口千兆交换机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72D4EA05">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端口规格：≥5个10/100/1000Mbps自适应千兆电口，非网管设计，即插即用，部署便捷。2、性能参数：交换容量≥10Gbps，包转发率≥7.5Mpps，满足高清监控视频稳定传输。3、防护性能：端口具备防雷防静电保护，适应现场复杂施工环境。4、设备特性：低功耗、高稳定性，支持全天候不间断运行，适配小型点位组网。</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45A4B7A">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17</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5A20D82">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C895F51">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D38E22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6A563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4F0070B5">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2022A605">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564942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无氧铜芯高清线</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7871CB96">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规格标准：国标六类非屏蔽网线，导体为纯无氧铜，线径≥0.5mm，杜绝铜包铝、铜包铁等劣质材质。2、传输性能：带宽≥250MHz，支持千兆及以上网络传输，满足高清监控视频、音频数据稳定传输，无延迟、无丢包。3、材质工艺：外皮阻燃、耐老化、耐拉扯，适配室内外布线，防潮防腐蚀，使用寿命长。4、验收标准：支持现场抽样检测，材质、线径、传输参数需达标。</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359E5F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72F16C4">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根</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CAC460D">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016ABB7">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17E2F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022F26A4">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17646533">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60A39CC">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摄像机支架</w:t>
            </w:r>
            <w:r>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t>：</w:t>
            </w:r>
          </w:p>
          <w:p w14:paraId="7DC44E4E">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材质工艺：加厚金属材质，整体防锈、防腐、抗老化处理，适配户外长期使用。2、结构功能：标准壁装结构，角度可上下、左右调节，适配本项目所有枪型摄像机安装固定。3、适配性：安装稳固、承重性强，抗风、抗震动，适配室外复杂环境。</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6A893BF">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70</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DC094C1">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个</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E6F4B36">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1069D8E">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14:textFill>
                  <w14:solidFill>
                    <w14:schemeClr w14:val="tx1"/>
                  </w14:solidFill>
                </w14:textFill>
              </w:rPr>
            </w:pPr>
          </w:p>
        </w:tc>
      </w:tr>
      <w:tr w14:paraId="30331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2099D0C2">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675E60A">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BA6A01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摄像机电源</w:t>
            </w:r>
            <w:r>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t>：</w:t>
            </w:r>
          </w:p>
          <w:p w14:paraId="75ED415A">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电气参数：标准输出DC12V/2A，宽电压AC85-265V输入，适配国内通用市电环境。2、防护功能：具备防雷、过压、过流、短路保护功能，有效保护摄像机设备。3、性能要求：低功耗、稳压效果好，7×24小时不间断运行不发热、不跳闸、不烧机。4、合规要求：符合国家电气安全标准，具备3C认证。</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5F910BA">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70</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F22230C">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个</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377AD4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FED6F2A">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42B6A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87041E6">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223E5717">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6C6B27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交换机防水收纳箱</w:t>
            </w:r>
            <w:r>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t>：</w:t>
            </w:r>
          </w:p>
          <w:p w14:paraId="104F9C7C">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尺寸规格：外尺寸280*190*100MM，适配常规千兆交换机安装。2、材质性能：高强度防水防尘材质，密封性好，防雨、防尘、防潮、防腐蚀，适配室外弱电点位安装。3、结构设计：预留走线孔、散热孔，内部带固定支架，安装便捷，可有效保护交换机、线路及接头。</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11031EE">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14</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4E40AC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个</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5FE8FE5">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8CBB90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33FEC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5D2A0DE">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5EDB0690">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732389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信号电源综合线</w:t>
            </w:r>
            <w:r>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t>：</w:t>
            </w:r>
          </w:p>
          <w:p w14:paraId="45860F80">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线体规格：4*0.46+2*0.5复合型综合线，集成信号传输与供电功能。2、材质要求：纯无氧铜导体，绝缘层阻燃、耐拉扯、耐老化，防潮防腐。3、使用场景：适配摄像机远距离供电、信号传输，兼顾供电稳定性和网络信号完整性，无干扰、无衰减。4、施工要求：适配室内外布线，满足项目全程敷设需求。</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08FDA1A">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3720</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83FC63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米</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8E62B21">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3E4DBFC">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372FD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61CC337A">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2C267354">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D7A02B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PVC穿线管</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36BDCF2">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2500</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AC32616">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米</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AD03F91">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9BEFFDE">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63BBD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restart"/>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476F0CF1">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1</w:t>
            </w:r>
          </w:p>
        </w:tc>
        <w:tc>
          <w:tcPr>
            <w:tcW w:w="2086" w:type="dxa"/>
            <w:vMerge w:val="restart"/>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25D5EC8">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监控系统改造升级</w:t>
            </w: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6B32E9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网络水晶头</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33EB619">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190</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AFE30B9">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个</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1B41C4D">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70B05EA">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01FC9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1F7303CF">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1E90AE79">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8228C0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管卡</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2C1A9C1">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21</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AED16C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袋</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EF937B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221EC49">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71282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D1D0E0F">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7A972BF6">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1E952B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其他费用（含人工费、税费等）</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0B6655D">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AC1F427">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D7A541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1BF4C85">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43B5D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06181E4F">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75BC378E">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0254C5C">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合</w:t>
            </w: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计</w:t>
            </w:r>
          </w:p>
        </w:tc>
        <w:tc>
          <w:tcPr>
            <w:tcW w:w="3885" w:type="dxa"/>
            <w:gridSpan w:val="3"/>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8A688E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3B9A9B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A934F28">
            <w:pPr>
              <w:spacing w:beforeAutospacing="0" w:afterAutospacing="0"/>
              <w:ind w:right="0" w:rightChars="0"/>
              <w:jc w:val="center"/>
            </w:pPr>
          </w:p>
        </w:tc>
      </w:tr>
    </w:tbl>
    <w:p w14:paraId="2BDC75BE">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方正仿宋简体" w:cs="Times New Roman"/>
          <w:b/>
          <w:bCs/>
          <w:sz w:val="32"/>
          <w:szCs w:val="40"/>
        </w:rPr>
        <w:sectPr>
          <w:pgSz w:w="16840" w:h="11905" w:orient="landscape"/>
          <w:pgMar w:top="1531" w:right="2098" w:bottom="1531" w:left="1928" w:header="964" w:footer="1587" w:gutter="0"/>
          <w:pgNumType w:fmt="decimal"/>
          <w:cols w:space="0" w:num="1"/>
          <w:rtlGutter w:val="0"/>
          <w:docGrid w:linePitch="0" w:charSpace="0"/>
        </w:sectPr>
      </w:pPr>
    </w:p>
    <w:p w14:paraId="0629C2B2">
      <w:pPr>
        <w:pStyle w:val="3"/>
        <w:ind w:left="0" w:leftChars="0" w:firstLine="0" w:firstLineChars="0"/>
        <w:rPr>
          <w:rFonts w:hint="default"/>
          <w:lang w:val="en-US" w:eastAsia="zh-CN"/>
        </w:rPr>
      </w:pPr>
    </w:p>
    <w:sectPr>
      <w:pgSz w:w="16838" w:h="11906" w:orient="landscape"/>
      <w:pgMar w:top="1531" w:right="2098" w:bottom="1531" w:left="1928" w:header="851" w:footer="158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roman"/>
    <w:pitch w:val="default"/>
    <w:sig w:usb0="00000000" w:usb1="00000000" w:usb2="0000003F" w:usb3="00000000" w:csb0="603F01FF" w:csb1="FFFF0000"/>
  </w:font>
  <w:font w:name="方正小标宋简体">
    <w:panose1 w:val="02000000000000000000"/>
    <w:charset w:val="86"/>
    <w:family w:val="auto"/>
    <w:pitch w:val="default"/>
    <w:sig w:usb0="00000001" w:usb1="080E0000" w:usb2="00000000" w:usb3="00000000" w:csb0="00040000" w:csb1="00000000"/>
    <w:embedRegular r:id="rId1" w:fontKey="{35C9B1EC-DF8C-4DB7-85BB-61402A0BDF24}"/>
  </w:font>
  <w:font w:name="方正仿宋简体">
    <w:panose1 w:val="02010601030101010101"/>
    <w:charset w:val="86"/>
    <w:family w:val="auto"/>
    <w:pitch w:val="default"/>
    <w:sig w:usb0="00000001" w:usb1="080E0000" w:usb2="00000000" w:usb3="00000000" w:csb0="00040000" w:csb1="00000000"/>
  </w:font>
  <w:font w:name="方正黑体简体">
    <w:panose1 w:val="02000000000000000000"/>
    <w:charset w:val="86"/>
    <w:family w:val="auto"/>
    <w:pitch w:val="default"/>
    <w:sig w:usb0="00000001" w:usb1="080E0000" w:usb2="00000000" w:usb3="00000000" w:csb0="00040000" w:csb1="00000000"/>
    <w:embedRegular r:id="rId2" w:fontKey="{2893479D-6611-47B3-A85D-E0D9FBE63E9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788F2">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F2EBEE">
                          <w:pPr>
                            <w:pStyle w:val="5"/>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 </w:t>
                          </w:r>
                          <w:r>
                            <w:rPr>
                              <w:rFonts w:hint="default" w:ascii="Times New Roman" w:hAnsi="Times New Roman" w:cs="Times New Roman"/>
                              <w:b/>
                              <w:bCs/>
                              <w:sz w:val="28"/>
                              <w:szCs w:val="28"/>
                            </w:rPr>
                            <w:fldChar w:fldCharType="begin"/>
                          </w:r>
                          <w:r>
                            <w:rPr>
                              <w:rFonts w:hint="default" w:ascii="Times New Roman" w:hAnsi="Times New Roman" w:cs="Times New Roman"/>
                              <w:b/>
                              <w:bCs/>
                              <w:sz w:val="28"/>
                              <w:szCs w:val="28"/>
                            </w:rPr>
                            <w:instrText xml:space="preserve"> PAGE  \* MERGEFORMAT </w:instrText>
                          </w:r>
                          <w:r>
                            <w:rPr>
                              <w:rFonts w:hint="default" w:ascii="Times New Roman" w:hAnsi="Times New Roman" w:cs="Times New Roman"/>
                              <w:b/>
                              <w:bCs/>
                              <w:sz w:val="28"/>
                              <w:szCs w:val="28"/>
                            </w:rPr>
                            <w:fldChar w:fldCharType="separate"/>
                          </w:r>
                          <w:r>
                            <w:rPr>
                              <w:rFonts w:hint="default" w:ascii="Times New Roman" w:hAnsi="Times New Roman" w:cs="Times New Roman"/>
                              <w:b/>
                              <w:bCs/>
                              <w:sz w:val="28"/>
                              <w:szCs w:val="28"/>
                            </w:rPr>
                            <w:t>1</w:t>
                          </w:r>
                          <w:r>
                            <w:rPr>
                              <w:rFonts w:hint="default" w:ascii="Times New Roman" w:hAnsi="Times New Roman" w:cs="Times New Roman"/>
                              <w:b/>
                              <w:bCs/>
                              <w:sz w:val="28"/>
                              <w:szCs w:val="28"/>
                            </w:rPr>
                            <w:fldChar w:fldCharType="end"/>
                          </w:r>
                          <w:r>
                            <w:rPr>
                              <w:rFonts w:hint="default" w:ascii="Times New Roman" w:hAnsi="Times New Roman" w:cs="Times New Roman"/>
                              <w:b/>
                              <w:bCs/>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AF2EBEE">
                    <w:pPr>
                      <w:pStyle w:val="5"/>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 </w:t>
                    </w:r>
                    <w:r>
                      <w:rPr>
                        <w:rFonts w:hint="default" w:ascii="Times New Roman" w:hAnsi="Times New Roman" w:cs="Times New Roman"/>
                        <w:b/>
                        <w:bCs/>
                        <w:sz w:val="28"/>
                        <w:szCs w:val="28"/>
                      </w:rPr>
                      <w:fldChar w:fldCharType="begin"/>
                    </w:r>
                    <w:r>
                      <w:rPr>
                        <w:rFonts w:hint="default" w:ascii="Times New Roman" w:hAnsi="Times New Roman" w:cs="Times New Roman"/>
                        <w:b/>
                        <w:bCs/>
                        <w:sz w:val="28"/>
                        <w:szCs w:val="28"/>
                      </w:rPr>
                      <w:instrText xml:space="preserve"> PAGE  \* MERGEFORMAT </w:instrText>
                    </w:r>
                    <w:r>
                      <w:rPr>
                        <w:rFonts w:hint="default" w:ascii="Times New Roman" w:hAnsi="Times New Roman" w:cs="Times New Roman"/>
                        <w:b/>
                        <w:bCs/>
                        <w:sz w:val="28"/>
                        <w:szCs w:val="28"/>
                      </w:rPr>
                      <w:fldChar w:fldCharType="separate"/>
                    </w:r>
                    <w:r>
                      <w:rPr>
                        <w:rFonts w:hint="default" w:ascii="Times New Roman" w:hAnsi="Times New Roman" w:cs="Times New Roman"/>
                        <w:b/>
                        <w:bCs/>
                        <w:sz w:val="28"/>
                        <w:szCs w:val="28"/>
                      </w:rPr>
                      <w:t>1</w:t>
                    </w:r>
                    <w:r>
                      <w:rPr>
                        <w:rFonts w:hint="default" w:ascii="Times New Roman" w:hAnsi="Times New Roman" w:cs="Times New Roman"/>
                        <w:b/>
                        <w:bCs/>
                        <w:sz w:val="28"/>
                        <w:szCs w:val="28"/>
                      </w:rPr>
                      <w:fldChar w:fldCharType="end"/>
                    </w:r>
                    <w:r>
                      <w:rPr>
                        <w:rFonts w:hint="default" w:ascii="Times New Roman" w:hAnsi="Times New Roman" w:cs="Times New Roman"/>
                        <w:b/>
                        <w:bCs/>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7914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951D13">
                          <w:pPr>
                            <w:pStyle w:val="5"/>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 </w:t>
                          </w:r>
                          <w:r>
                            <w:rPr>
                              <w:rFonts w:hint="default" w:ascii="Times New Roman" w:hAnsi="Times New Roman" w:cs="Times New Roman"/>
                              <w:b/>
                              <w:bCs/>
                              <w:sz w:val="28"/>
                              <w:szCs w:val="28"/>
                            </w:rPr>
                            <w:fldChar w:fldCharType="begin"/>
                          </w:r>
                          <w:r>
                            <w:rPr>
                              <w:rFonts w:hint="default" w:ascii="Times New Roman" w:hAnsi="Times New Roman" w:cs="Times New Roman"/>
                              <w:b/>
                              <w:bCs/>
                              <w:sz w:val="28"/>
                              <w:szCs w:val="28"/>
                            </w:rPr>
                            <w:instrText xml:space="preserve"> PAGE  \* MERGEFORMAT </w:instrText>
                          </w:r>
                          <w:r>
                            <w:rPr>
                              <w:rFonts w:hint="default" w:ascii="Times New Roman" w:hAnsi="Times New Roman" w:cs="Times New Roman"/>
                              <w:b/>
                              <w:bCs/>
                              <w:sz w:val="28"/>
                              <w:szCs w:val="28"/>
                            </w:rPr>
                            <w:fldChar w:fldCharType="separate"/>
                          </w:r>
                          <w:r>
                            <w:rPr>
                              <w:rFonts w:hint="default" w:ascii="Times New Roman" w:hAnsi="Times New Roman" w:cs="Times New Roman"/>
                              <w:b/>
                              <w:bCs/>
                              <w:sz w:val="28"/>
                              <w:szCs w:val="28"/>
                            </w:rPr>
                            <w:t>7</w:t>
                          </w:r>
                          <w:r>
                            <w:rPr>
                              <w:rFonts w:hint="default" w:ascii="Times New Roman" w:hAnsi="Times New Roman" w:cs="Times New Roman"/>
                              <w:b/>
                              <w:bCs/>
                              <w:sz w:val="28"/>
                              <w:szCs w:val="28"/>
                            </w:rPr>
                            <w:fldChar w:fldCharType="end"/>
                          </w:r>
                          <w:r>
                            <w:rPr>
                              <w:rFonts w:hint="default" w:ascii="Times New Roman" w:hAnsi="Times New Roman" w:cs="Times New Roman"/>
                              <w:b/>
                              <w:bCs/>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0951D13">
                    <w:pPr>
                      <w:pStyle w:val="5"/>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 </w:t>
                    </w:r>
                    <w:r>
                      <w:rPr>
                        <w:rFonts w:hint="default" w:ascii="Times New Roman" w:hAnsi="Times New Roman" w:cs="Times New Roman"/>
                        <w:b/>
                        <w:bCs/>
                        <w:sz w:val="28"/>
                        <w:szCs w:val="28"/>
                      </w:rPr>
                      <w:fldChar w:fldCharType="begin"/>
                    </w:r>
                    <w:r>
                      <w:rPr>
                        <w:rFonts w:hint="default" w:ascii="Times New Roman" w:hAnsi="Times New Roman" w:cs="Times New Roman"/>
                        <w:b/>
                        <w:bCs/>
                        <w:sz w:val="28"/>
                        <w:szCs w:val="28"/>
                      </w:rPr>
                      <w:instrText xml:space="preserve"> PAGE  \* MERGEFORMAT </w:instrText>
                    </w:r>
                    <w:r>
                      <w:rPr>
                        <w:rFonts w:hint="default" w:ascii="Times New Roman" w:hAnsi="Times New Roman" w:cs="Times New Roman"/>
                        <w:b/>
                        <w:bCs/>
                        <w:sz w:val="28"/>
                        <w:szCs w:val="28"/>
                      </w:rPr>
                      <w:fldChar w:fldCharType="separate"/>
                    </w:r>
                    <w:r>
                      <w:rPr>
                        <w:rFonts w:hint="default" w:ascii="Times New Roman" w:hAnsi="Times New Roman" w:cs="Times New Roman"/>
                        <w:b/>
                        <w:bCs/>
                        <w:sz w:val="28"/>
                        <w:szCs w:val="28"/>
                      </w:rPr>
                      <w:t>7</w:t>
                    </w:r>
                    <w:r>
                      <w:rPr>
                        <w:rFonts w:hint="default" w:ascii="Times New Roman" w:hAnsi="Times New Roman" w:cs="Times New Roman"/>
                        <w:b/>
                        <w:bCs/>
                        <w:sz w:val="28"/>
                        <w:szCs w:val="28"/>
                      </w:rPr>
                      <w:fldChar w:fldCharType="end"/>
                    </w:r>
                    <w:r>
                      <w:rPr>
                        <w:rFonts w:hint="default" w:ascii="Times New Roman" w:hAnsi="Times New Roman" w:cs="Times New Roman"/>
                        <w:b/>
                        <w:bCs/>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F95FBF"/>
    <w:multiLevelType w:val="singleLevel"/>
    <w:tmpl w:val="C1F95FBF"/>
    <w:lvl w:ilvl="0" w:tentative="0">
      <w:start w:val="1"/>
      <w:numFmt w:val="chineseCounting"/>
      <w:suff w:val="nothing"/>
      <w:lvlText w:val="（%1）"/>
      <w:lvlJc w:val="left"/>
      <w:rPr>
        <w:rFonts w:hint="eastAsia"/>
      </w:rPr>
    </w:lvl>
  </w:abstractNum>
  <w:abstractNum w:abstractNumId="1">
    <w:nsid w:val="6DB17330"/>
    <w:multiLevelType w:val="singleLevel"/>
    <w:tmpl w:val="6DB17330"/>
    <w:lvl w:ilvl="0" w:tentative="0">
      <w:start w:val="1"/>
      <w:numFmt w:val="decimal"/>
      <w:suff w:val="nothing"/>
      <w:lvlText w:val="%1．"/>
      <w:lvlJc w:val="left"/>
      <w:pPr>
        <w:ind w:left="20" w:firstLine="400"/>
      </w:pPr>
      <w:rPr>
        <w:rFonts w:hint="default"/>
        <w:color w:val="000000" w:themeColor="text1"/>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511B0A"/>
    <w:rsid w:val="011253ED"/>
    <w:rsid w:val="013730A5"/>
    <w:rsid w:val="044F0706"/>
    <w:rsid w:val="045F4DED"/>
    <w:rsid w:val="04695C6C"/>
    <w:rsid w:val="08CF2318"/>
    <w:rsid w:val="098D5F59"/>
    <w:rsid w:val="0D957AD2"/>
    <w:rsid w:val="0E924011"/>
    <w:rsid w:val="0F8F1148"/>
    <w:rsid w:val="119D51A7"/>
    <w:rsid w:val="11D53981"/>
    <w:rsid w:val="12895078"/>
    <w:rsid w:val="14784536"/>
    <w:rsid w:val="15311E8E"/>
    <w:rsid w:val="15AC59B8"/>
    <w:rsid w:val="17E20D7F"/>
    <w:rsid w:val="194F4FD8"/>
    <w:rsid w:val="1A9058A9"/>
    <w:rsid w:val="1BAD1D3B"/>
    <w:rsid w:val="1D510BB8"/>
    <w:rsid w:val="1E537768"/>
    <w:rsid w:val="1F4E2A06"/>
    <w:rsid w:val="211B1C44"/>
    <w:rsid w:val="21CF315A"/>
    <w:rsid w:val="242E34D7"/>
    <w:rsid w:val="25ED1E01"/>
    <w:rsid w:val="27D17500"/>
    <w:rsid w:val="2C11436F"/>
    <w:rsid w:val="2CDE7180"/>
    <w:rsid w:val="2DE51610"/>
    <w:rsid w:val="2F996B56"/>
    <w:rsid w:val="30750F4B"/>
    <w:rsid w:val="317E4255"/>
    <w:rsid w:val="31A86AB0"/>
    <w:rsid w:val="32335040"/>
    <w:rsid w:val="32C20171"/>
    <w:rsid w:val="33D47515"/>
    <w:rsid w:val="35A65B28"/>
    <w:rsid w:val="36054F45"/>
    <w:rsid w:val="374101FF"/>
    <w:rsid w:val="387E0FDF"/>
    <w:rsid w:val="3C65673D"/>
    <w:rsid w:val="3E295549"/>
    <w:rsid w:val="40121069"/>
    <w:rsid w:val="40152228"/>
    <w:rsid w:val="40776A3F"/>
    <w:rsid w:val="40A14336"/>
    <w:rsid w:val="41850CE8"/>
    <w:rsid w:val="42CA554C"/>
    <w:rsid w:val="42E03993"/>
    <w:rsid w:val="44114AB5"/>
    <w:rsid w:val="470B7EE1"/>
    <w:rsid w:val="474029EB"/>
    <w:rsid w:val="47BB1295"/>
    <w:rsid w:val="48D3616B"/>
    <w:rsid w:val="490746D8"/>
    <w:rsid w:val="4BBD4668"/>
    <w:rsid w:val="4C3A6B73"/>
    <w:rsid w:val="4F2101CA"/>
    <w:rsid w:val="4FD07F1A"/>
    <w:rsid w:val="50D91050"/>
    <w:rsid w:val="526474D4"/>
    <w:rsid w:val="52BF41CE"/>
    <w:rsid w:val="53F817ED"/>
    <w:rsid w:val="543D1818"/>
    <w:rsid w:val="5495703C"/>
    <w:rsid w:val="55592760"/>
    <w:rsid w:val="56905D0D"/>
    <w:rsid w:val="569A04E7"/>
    <w:rsid w:val="58FA7DB6"/>
    <w:rsid w:val="5A527B16"/>
    <w:rsid w:val="5DC52744"/>
    <w:rsid w:val="5E652175"/>
    <w:rsid w:val="5EE62B46"/>
    <w:rsid w:val="5F7206A6"/>
    <w:rsid w:val="610F0176"/>
    <w:rsid w:val="61D513C0"/>
    <w:rsid w:val="62BB36AE"/>
    <w:rsid w:val="62CA354F"/>
    <w:rsid w:val="64341DB5"/>
    <w:rsid w:val="659A4F53"/>
    <w:rsid w:val="68896A60"/>
    <w:rsid w:val="691E189E"/>
    <w:rsid w:val="699D5E77"/>
    <w:rsid w:val="69EA352F"/>
    <w:rsid w:val="6B030D4C"/>
    <w:rsid w:val="6B594E10"/>
    <w:rsid w:val="6BA808D2"/>
    <w:rsid w:val="6BF40B2B"/>
    <w:rsid w:val="6C6809A9"/>
    <w:rsid w:val="6F511B0A"/>
    <w:rsid w:val="6FF2233D"/>
    <w:rsid w:val="70785D38"/>
    <w:rsid w:val="7380418E"/>
    <w:rsid w:val="74623883"/>
    <w:rsid w:val="74ED6ED2"/>
    <w:rsid w:val="773756EF"/>
    <w:rsid w:val="7AAC0AB8"/>
    <w:rsid w:val="7AD4548E"/>
    <w:rsid w:val="7B354F51"/>
    <w:rsid w:val="7CC85951"/>
    <w:rsid w:val="7DAA1142"/>
    <w:rsid w:val="7E6804CF"/>
    <w:rsid w:val="7F0371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keepNext/>
      <w:keepLines/>
      <w:autoSpaceDE w:val="0"/>
      <w:autoSpaceDN w:val="0"/>
      <w:jc w:val="center"/>
      <w:textAlignment w:val="baseline"/>
      <w:outlineLvl w:val="0"/>
    </w:pPr>
    <w:rPr>
      <w:rFonts w:hint="eastAsia" w:ascii="宋体" w:hAnsi="宋体" w:eastAsia="宋体" w:cs="Times New Roman"/>
      <w:b/>
      <w:bCs/>
      <w:kern w:val="44"/>
      <w:sz w:val="36"/>
      <w:szCs w:val="36"/>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customStyle="1" w:styleId="3">
    <w:name w:val="Index 81"/>
    <w:basedOn w:val="1"/>
    <w:next w:val="1"/>
    <w:qFormat/>
    <w:uiPriority w:val="0"/>
    <w:pPr>
      <w:ind w:left="1400" w:leftChars="14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_正文段落"/>
    <w:basedOn w:val="1"/>
    <w:qFormat/>
    <w:uiPriority w:val="0"/>
    <w:pPr>
      <w:spacing w:beforeLines="15" w:afterLines="15" w:line="360" w:lineRule="auto"/>
      <w:ind w:firstLine="200" w:firstLineChars="200"/>
    </w:pPr>
    <w:rPr>
      <w:rFonts w:ascii="宋体" w:eastAsia="仿宋_GB2312"/>
      <w:kern w:val="0"/>
      <w:sz w:val="28"/>
    </w:rPr>
  </w:style>
  <w:style w:type="paragraph" w:customStyle="1" w:styleId="12">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13">
    <w:name w:val="正文 A"/>
    <w:basedOn w:val="1"/>
    <w:next w:val="14"/>
    <w:qFormat/>
    <w:uiPriority w:val="0"/>
    <w:rPr>
      <w:rFonts w:hint="eastAsia" w:ascii="Arial Unicode MS" w:hAnsi="Arial Unicode MS" w:eastAsia="Arial Unicode MS" w:cs="Times New Roman"/>
      <w:color w:val="000000"/>
      <w:szCs w:val="21"/>
    </w:rPr>
  </w:style>
  <w:style w:type="paragraph" w:customStyle="1" w:styleId="14">
    <w:name w:val="正文文本1"/>
    <w:basedOn w:val="1"/>
    <w:qFormat/>
    <w:uiPriority w:val="0"/>
    <w:pPr>
      <w:spacing w:after="120"/>
    </w:pPr>
    <w:rPr>
      <w:rFonts w:hint="eastAsia" w:ascii="Arial Unicode MS" w:hAnsi="Arial Unicode MS" w:eastAsia="Arial Unicode MS" w:cs="Times New Roman"/>
      <w:color w:val="000000"/>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d359482b-600a-4b2f-8a99-1deb6d198033</errorID>
      <errorWord>日至2026年</errorWord>
      <group>L1_Word</group>
      <groupName>字词问题</groupName>
      <ability>L2_Typo</ability>
      <abilityName>字词错误</abilityName>
      <candidateList>
        <item>日起至2026年</item>
      </candidateList>
      <explain/>
      <paraID>4EAC8517</paraID>
      <start>20</start>
      <end>27</end>
      <status>ignored</status>
      <modifiedWord/>
      <trackRevisions>false</trackRevisions>
    </reviewItem>
    <reviewItem>
      <errorID>24e5cfca-675e-42dd-b1a7-deefde102ab3</errorID>
      <errorWord>、</errorWord>
      <group>L1_Word</group>
      <groupName>字词问题</groupName>
      <ability>L2_Typo</ability>
      <abilityName>字词错误</abilityName>
      <candidateList>
        <item>或</item>
      </candidateList>
      <explain/>
      <paraID>4CF08F28</paraID>
      <start>63</start>
      <end>64</end>
      <status>ignored</status>
      <modifiedWord/>
      <trackRevisions>false</trackRevisions>
    </reviewItem>
    <reviewItem>
      <errorID>6fa4fd7d-c77f-4f4b-933a-16d58a84eda2</errorID>
      <errorWord>完成后一律</errorWord>
      <group>L1_Grammar</group>
      <groupName>语法问题</groupName>
      <ability>L2_Grammar</ability>
      <abilityName>语法错误</abilityName>
      <candidateList>
        <item>即</item>
      </candidateList>
      <explain/>
      <paraID>4CF08F28</paraID>
      <start>101</start>
      <end>106</end>
      <status>ignored</status>
      <modifiedWord/>
      <trackRevisions>false</trackRevisions>
    </reviewItem>
    <reviewItem>
      <errorID>cfd7a57c-0e33-4191-86bc-363988ca17eb</errorID>
      <errorWord>参考用</errorWord>
      <group>L1_Word</group>
      <groupName>字词问题</groupName>
      <ability>L2_Typo</ability>
      <abilityName>字词错误</abilityName>
      <candidateList>
        <item>参考</item>
      </candidateList>
      <explain/>
      <paraID>79A3BEAF</paraID>
      <start>32</start>
      <end>35</end>
      <status>ignored</status>
      <modifiedWord/>
      <trackRevisions>false</trackRevisions>
    </reviewItem>
    <reviewItem>
      <errorID>0db1c1f5-6833-47d9-864d-59062f9c5b4d</errorID>
      <errorWord>和</errorWord>
      <group>L1_Word</group>
      <groupName>字词问题</groupName>
      <ability>L2_Typo</ability>
      <abilityName>字词错误</abilityName>
      <candidateList>
        <item>或</item>
      </candidateList>
      <explain/>
      <paraID>7B7AB459</paraID>
      <start>58</start>
      <end>59</end>
      <status>ignored</status>
      <modifiedWord/>
      <trackRevisions>false</trackRevisions>
    </reviewItem>
    <reviewItem>
      <errorID>6f499ac5-a7bb-48ae-b6e5-85db8bd5e1da</errorID>
      <errorWord>，</errorWord>
      <group>L1_Punc</group>
      <groupName>标点问题</groupName>
      <ability>L2_Punc_CN</ability>
      <abilityName>标点符号问题</abilityName>
      <candidateList>
        <item>。</item>
      </candidateList>
      <explain/>
      <paraID>1B64461F</paraID>
      <start>26</start>
      <end>27</end>
      <status>ignored</status>
      <modifiedWord/>
      <trackRevisions>false</trackRevisions>
    </reviewItem>
    <reviewItem>
      <errorID>f955bee5-c0f6-43c7-a818-54a4cecebe7c</errorID>
      <errorWord>失信执行人</errorWord>
      <group>L1_Other</group>
      <groupName>其他问题</groupName>
      <ability>L2_Consistency</ability>
      <abilityName>一致性检查</abilityName>
      <candidateList>
        <item>失信被执行人</item>
      </candidateList>
      <explain>术语一致性错误，原文其余位置统一使用“失信被执行人”表述，此处表述不一致</explain>
      <paraID> E9EE592</paraID>
      <start>19</start>
      <end>24</end>
      <status>ignored</status>
      <modifiedWord/>
      <trackRevisions>false</trackRevisions>
    </reviewItem>
    <reviewItem>
      <errorID>56fd81af-f597-4ab1-8814-cb7eb4319429</errorID>
      <errorWord>，</errorWord>
      <group>L1_Punc</group>
      <groupName>标点问题</groupName>
      <ability>L2_Punc_CN</ability>
      <abilityName>标点符号问题</abilityName>
      <candidateList>
        <item>、</item>
      </candidateList>
      <explain/>
      <paraID>291EB720</paraID>
      <start>25</start>
      <end>26</end>
      <status>ignored</status>
      <modifiedWord/>
      <trackRevisions>false</trackRevisions>
    </reviewItem>
    <reviewItem>
      <errorID>d771b4fc-88c8-4c33-9eed-88ac7bb34a9d</errorID>
      <errorWord>无政府</errorWord>
      <group>L1_Word</group>
      <groupName>字词问题</groupName>
      <ability>L2_Typo</ability>
      <abilityName>字词错误</abilityName>
      <candidateList>
        <item>且无政府</item>
      </candidateList>
      <explain/>
      <paraID>291EB720</paraID>
      <start>40</start>
      <end>43</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f387bd-9371-4509-a175-dfcfefa06fa4}">
  <ds:schemaRefs/>
</ds:datastoreItem>
</file>

<file path=docProps/app.xml><?xml version="1.0" encoding="utf-8"?>
<Properties xmlns="http://schemas.openxmlformats.org/officeDocument/2006/extended-properties" xmlns:vt="http://schemas.openxmlformats.org/officeDocument/2006/docPropsVTypes">
  <Template>Normal.dotm</Template>
  <Pages>17</Pages>
  <Words>5839</Words>
  <Characters>7044</Characters>
  <Lines>0</Lines>
  <Paragraphs>0</Paragraphs>
  <TotalTime>11</TotalTime>
  <ScaleCrop>false</ScaleCrop>
  <LinksUpToDate>false</LinksUpToDate>
  <CharactersWithSpaces>7215</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2026-06-23T08:05:00Z</dcterms:created>
  <dc:creator>杨溢   心有淩淅</dc:creator>
  <cp:lastModifiedBy>啊</cp:lastModifiedBy>
  <cp:lastPrinted>2026-09-21T03:13:00Z</cp:lastPrinted>
  <dcterms:modified xsi:type="dcterms:W3CDTF">2026-10-10T09:21:42Z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31195D0515404599BEC43D14BD0A2F4C_13</vt:lpwstr>
  </property>
  <property fmtid="{D5CDD505-2E9C-101B-9397-08002B2CF9AE}" pid="4" name="KSOTemplateDocerSaveRecord">
    <vt:lpwstr>eyJoZGlkIjoiYzk3NzUyNTgyOGIyYzM4ODYyNTUxMThlNDc3MjE5YzgiLCJ1c2VySWQiOiI0NTg5NTQ3MDQifQ==</vt:lpwstr>
  </property>
</Properties>
</file>