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C0819">
      <w:pPr>
        <w:jc w:val="both"/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</w:t>
      </w:r>
    </w:p>
    <w:p w14:paraId="4E78F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2027年度电工外包服务需求清单</w:t>
      </w:r>
    </w:p>
    <w:p w14:paraId="31577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11" w:lineRule="exact"/>
        <w:ind w:firstLine="0"/>
        <w:jc w:val="both"/>
        <w:textAlignment w:val="auto"/>
        <w:rPr>
          <w:rFonts w:hint="eastAsia" w:ascii="宋体" w:hAnsi="宋体" w:eastAsia="宋体"/>
          <w:color w:val="000000"/>
          <w:sz w:val="24"/>
        </w:rPr>
      </w:pPr>
    </w:p>
    <w:p w14:paraId="5C56C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08" w:lineRule="exact"/>
        <w:ind w:firstLine="0"/>
        <w:jc w:val="both"/>
        <w:textAlignment w:val="auto"/>
        <w:rPr>
          <w:rFonts w:hint="eastAsia" w:ascii="宋体" w:hAnsi="宋体" w:eastAsia="宋体"/>
          <w:color w:val="000000"/>
          <w:sz w:val="22"/>
        </w:rPr>
      </w:pPr>
    </w:p>
    <w:tbl>
      <w:tblPr>
        <w:tblStyle w:val="6"/>
        <w:tblW w:w="0" w:type="auto"/>
        <w:tblInd w:w="1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2"/>
        <w:gridCol w:w="2786"/>
        <w:gridCol w:w="1337"/>
        <w:gridCol w:w="1318"/>
        <w:gridCol w:w="2306"/>
      </w:tblGrid>
      <w:tr w14:paraId="7582B6C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68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E3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479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数量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626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15E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金额（元）</w:t>
            </w:r>
          </w:p>
        </w:tc>
      </w:tr>
      <w:tr w14:paraId="22B4FE1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9C1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924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电工外包服务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1F2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569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年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0BE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</w:rPr>
              <w:t>381,540.00</w:t>
            </w:r>
          </w:p>
        </w:tc>
      </w:tr>
    </w:tbl>
    <w:p w14:paraId="24BCA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eastAsia" w:ascii="方正黑体简体" w:hAnsi="方正黑体简体" w:eastAsia="方正黑体简体" w:cs="方正黑体简体"/>
          <w:b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一、基本概况</w:t>
      </w:r>
    </w:p>
    <w:p w14:paraId="2CF37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为保障医院院区电力系统安全、稳定、合规运行，满足全院各科室、各部门电力保障需求，现通过市场询价方式选定专业服务供应商，承接本院住院部、门诊部、社区门诊、新区（综合业务大楼、传染病区）全域电力设备的日常运营管理、巡检维护、故障检修、应急处置及电工人员派驻管理等全部服务工作，全面保障医院供电系统24小时不间断安全运行。</w:t>
      </w:r>
    </w:p>
    <w:p w14:paraId="350EA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二、供应商通用服务资质与能力要求</w:t>
      </w:r>
    </w:p>
    <w:p w14:paraId="7DE23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供应商须具备合法合规的经营资质与成熟的运维服务体系，整体服务能力满足本医院运维高标准要求，具体如下：</w:t>
      </w:r>
    </w:p>
    <w:p w14:paraId="7F451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（一）合规经营要求：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遵守《中华人民共和国安全生产法》《电力安全工作规程》《中华人民共和国劳动合同法》等国家及行业法律法规、规章制度，服务态度规范、管理体系完善，无重大安全事故、劳务纠纷、行政处罚等不良信用记录。</w:t>
      </w:r>
    </w:p>
    <w:p w14:paraId="379EF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（二）硬件与信息化能力：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具备承接本电力运维所需的专业检测设备、维修工具、安全防护设施；搭建信息化管理体系，可实现人员考勤、设备巡检、故障报修、维保记录、台账归档等数字化管理，可定期向采购人提交运维数据报表。</w:t>
      </w:r>
    </w:p>
    <w:p w14:paraId="12DA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（三）人员保障能力：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具备规范化、标准化的人力招聘、审核、测评、岗前培训、职业指导体系，拥有稳定的电工劳务输出渠道，可保障人员足额在岗、人员更替无缝衔接，杜绝岗位空岗、脱岗问题。</w:t>
      </w:r>
    </w:p>
    <w:p w14:paraId="32371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（四）企业管理要求：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内部管理制度健全（安全管理制度、运维操作规程、人事管理制度、应急处置制度等），组织架构清晰，社会信誉良好，具备医院、事业单位同类电力运维服务经验者优先。</w:t>
      </w:r>
    </w:p>
    <w:p w14:paraId="31AB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eastAsia" w:ascii="方正黑体简体" w:hAnsi="方正黑体简体" w:eastAsia="方正黑体简体" w:cs="方正黑体简体"/>
          <w:b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三、派驻人员专属管理要求</w:t>
      </w:r>
    </w:p>
    <w:p w14:paraId="383EC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供应商成交后，全权负责本院所有派驻电工的人事管理、用工合规、日常管控、培训考核、纠纷处理等全部工作，采购人负责监督考核，具体要求如下：</w:t>
      </w:r>
    </w:p>
    <w:p w14:paraId="765B5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（一）人员入职管理：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所有派驻电工上岗前必须完成正规入职体检，体检合格、身体健康无职业禁忌症方可上岗；为保障服务平稳过渡，优先聘用上一周期在岗、熟悉本院院区设备情况的电工人员，人员更替需提前报备采购人审核。</w:t>
      </w:r>
    </w:p>
    <w:p w14:paraId="3133F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（二）档案与培训管理：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为每位派驻人员建立完整、规范的人事档案、岗位档案、安全作业档案，统一归集资质证书、体检报告、培训记录、考核记录等资料；定期组织岗位职责、电力安全操作、应急处置、医院规章制度等专项培训，每月不少于1次，留存完整培训台账。</w:t>
      </w:r>
    </w:p>
    <w:p w14:paraId="2A524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（三）考勤请销假管理：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建立完善的人员请销假、排班值守管理制度，严格落实24小时值守制度，人员调班、请假、替岗必须提前报采购人备案，杜绝擅自脱岗、空岗、顶岗不规范等问题，全力配合采购人日常考勤管理。</w:t>
      </w:r>
    </w:p>
    <w:p w14:paraId="6787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（四）薪酬发放管理：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依法与所有派驻电工签订正规劳动合同，完整办理全部劳动用工备案手续；严格按照采购人核准的薪酬标准，按时足额发放工资、绩效及各类补贴，无采购人书面正式通知，严禁无故克扣、拖欠、抵扣人员薪酬，薪酬发放记录全程留痕可查。</w:t>
      </w:r>
    </w:p>
    <w:p w14:paraId="6908C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（五）劳务纠纷处置：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全权负责合同期内所有派驻电工的用工管理、政策宣讲、答疑解惑，所有劳动纠纷、工伤事故、人员投诉等问题均由供应商全权处理、承担全部责任及相关费用，采购人不承担任何连带责任。</w:t>
      </w:r>
    </w:p>
    <w:p w14:paraId="36D8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（六）人员考核管理：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配合采购人制定贴合医院场景的电工岗位考核细则，日常常态化开展人员工作考核、纪律考核、安全考核，按月提交考核结果，根据考核结果落实奖惩、整改、人员更替等工作。</w:t>
      </w:r>
    </w:p>
    <w:p w14:paraId="54312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（七）兜底管理要求：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严格遵守采购人关于后勤保障、电力安全、院区管理、保密管理、安全生产等各项规章制度，无条件配合采购人各项临时管理要求。</w:t>
      </w:r>
    </w:p>
    <w:p w14:paraId="3BA70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四、班次值守与人员储备规划</w:t>
      </w:r>
    </w:p>
    <w:p w14:paraId="7B39A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供应商需制定科学、合规、可落地的轮岗值守制度，兼顾人员作业安全、休息权益及医院24小时不间断供电保障需求，具体排班标准固定如下：</w:t>
      </w:r>
    </w:p>
    <w:p w14:paraId="642B7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常规班次设置：实行全年365天24小时不间断值守制度，无节假日休班。早班：08:00-16:00，中班：16:00一次日24:00，晚班：00:00~08:00。固定2人在岗值守，其余人员机动轮休，保障人员劳逸结合、班次无缝衔接。</w:t>
      </w:r>
    </w:p>
    <w:p w14:paraId="11CCE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五、派驻电工人员硬性资质与岗位要求</w:t>
      </w:r>
    </w:p>
    <w:p w14:paraId="67652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本固定派驻在岗电工不得低于5名，所有人员必须满足以下硬性标准，上岗前资质全部提交采购人审核备案，审核不合格一律不得上岗：</w:t>
      </w:r>
    </w:p>
    <w:p w14:paraId="3CA11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（一）基础资质：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男性，年龄在国家法定退休年龄以内，无重大疾病、无职业禁忌症，身体健康、精力充沛；无违法犯罪记录、无失信记录、无不良嗜好，品行端正、服从管理，严格遵守国家法律法规及医院规章制度。</w:t>
      </w:r>
    </w:p>
    <w:p w14:paraId="55F41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（二）专业资质：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精通医院配电系统、机电设备、照明系统、智能电力设施的运维与故障维修；必须同时持有有效期内低压电工作业、高压电工作业双特种作业操作证，证书可在国家官方平台查验，资质过期、伪造、不符者一律清退。</w:t>
      </w:r>
    </w:p>
    <w:p w14:paraId="52662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（三）在岗值守要求：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工作时间必须全程在指定服务区域坐班值守，严禁擅离职守、串岗、脱岗、玩手机、消极怠工；常态化开展设备巡检，接到紧急维修任务后，10分钟内必须抵达现场处置。</w:t>
      </w:r>
    </w:p>
    <w:p w14:paraId="1BF9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（四）故障维修时效：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严格执行维修时效标准：小修不过夜、大修不隔天；一般性故障当日彻底修复，重大故障第一时间制定抢修方案、进场施工，最短时间恢复设备正常运行，全程保障医院诊疗用电安全。</w:t>
      </w:r>
    </w:p>
    <w:p w14:paraId="4F618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（五）设备巡检维保要求：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负责全院配电系统、公共用电、照明设施、楼内机电设备、智能电力设施的日常巡检、保养、维修工作。冬季配电系统每周不少于1次全面巡检，夏季用电高峰期每周不少于2次全面巡检，巡检发现隐患、故障第一时间上报采购人并完成整改修复。</w:t>
      </w:r>
    </w:p>
    <w:p w14:paraId="24DA7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（六）台账记录要求：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每日开展设施设备巡查、维保、故障维修工作，详细记录巡检情况、故障原因、处置过程、整改结果，建立标准化工作日志、设备台账、维保台账，做到一事一记、全程可追溯，定期整理归档提交采购人。</w:t>
      </w:r>
    </w:p>
    <w:p w14:paraId="66063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（七）履职纪律要求：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严格落实安全生产、院区保密、岗位纪律等各项规定，保质保量完成日常运维、抢修保障工作，主动接受采购人及供应商的双重管理、安全教育与岗位培训。</w:t>
      </w:r>
    </w:p>
    <w:p w14:paraId="4C0A5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/>
          <w:bCs w:val="0"/>
          <w:color w:val="000000"/>
          <w:sz w:val="32"/>
          <w:szCs w:val="32"/>
        </w:rPr>
        <w:t>（八）临时性工作：</w:t>
      </w: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无条件完成采购人交办的电力保障、设备排查、专项保电、配合检查等其他临时性后勤电力相关工作。</w:t>
      </w:r>
    </w:p>
    <w:p w14:paraId="69813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1" w:firstLineChars="200"/>
        <w:jc w:val="both"/>
        <w:textAlignment w:val="auto"/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/>
          <w:bCs w:val="0"/>
          <w:color w:val="000000"/>
          <w:sz w:val="32"/>
          <w:szCs w:val="32"/>
        </w:rPr>
        <w:t>六、补充履约考核与兜底条款</w:t>
      </w:r>
    </w:p>
    <w:p w14:paraId="7DD8E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（一）供应商需全程承担本电力运维的安全生产主体责任，所有作业严格遵守电力安全规程，作业过程中发生的安全事故、人员伤亡、设备损坏、第三方损失等，全部由供应商承担全责及一切费用。</w:t>
      </w:r>
    </w:p>
    <w:p w14:paraId="72FB3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（二）若出现人员资质不符、脱岗空岗、维修超时、巡检不到位、用电隐患未整改、薪酬社保违规等问题，采购人有权依据考核制度进行扣款、限期整改，情节严重的有权单方终止服务合同。</w:t>
      </w:r>
    </w:p>
    <w:p w14:paraId="39BC0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8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t>（三）供应商需保障院区电力设备零重大供电事故，全力配合医院等级评审、安全检查、应急演练等各项工作，提供配套电力技术支撑。</w:t>
      </w:r>
    </w:p>
    <w:p w14:paraId="64F24B00">
      <w:pP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 w:val="0"/>
          <w:color w:val="000000"/>
          <w:sz w:val="32"/>
          <w:szCs w:val="32"/>
        </w:rPr>
        <w:br w:type="page"/>
      </w:r>
    </w:p>
    <w:p w14:paraId="253D7A39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291E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参加本次市场调研前的信用记录未列入失信执行人名单，重大税收违法案件当事人名单，无政府采购严重违法失信等行为的承诺函</w:t>
      </w:r>
    </w:p>
    <w:p w14:paraId="2C6FC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B5A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1EA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我公司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     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（公司名称）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single"/>
          <w:lang w:val="en-US" w:eastAsia="zh-CN" w:bidi="ar"/>
        </w:rPr>
        <w:t>威远县紧密型县域医共体管理委员会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关于威远县人民医院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采购2027年度电工外包服务控制价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</w:rPr>
        <w:t>市场询价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的调研活动，现承诺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我公司在参加本次市场调研前的信用记录未列入失信执行人名单，重大税收违法案件当事人名单无政府采购严重违法失信等行为。</w:t>
      </w:r>
    </w:p>
    <w:p w14:paraId="1F44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DE8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2AB2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如违反以上承诺，本公司愿承担一切法律责任。</w:t>
      </w:r>
    </w:p>
    <w:p w14:paraId="2B7E6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AC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E287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7D8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0997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3252EA64">
      <w:pP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4CAEB8C6">
      <w:pPr>
        <w:jc w:val="both"/>
        <w:rPr>
          <w:rFonts w:hint="default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772D33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承  诺  函</w:t>
      </w:r>
    </w:p>
    <w:p w14:paraId="35F3D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EE6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627D8B8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作为参加本次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，现郑重承诺：</w:t>
      </w:r>
    </w:p>
    <w:p w14:paraId="1F75BE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具有独立承担民事责任的能力；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（二）具有良好的商业信誉和健全的财务会计制度；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（三）具有履行合同所必需的设备和专业技术能力；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（四）有依法缴纳税收和社会保障资金的良好记录；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　　（五）参加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前三年内，在经营活动中没有重大违法记录。</w:t>
      </w:r>
    </w:p>
    <w:p w14:paraId="46D7F7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left"/>
        <w:textAlignment w:val="auto"/>
        <w:outlineLvl w:val="9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（六）我公司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法定代表人、控股股东或实际控制人与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贵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高管人员及使用需求部门、采购部门关键岗位人员无夫妻、直系血亲、三代以内旁系血亲或者近姻亲关系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0946970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本公司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保证以上信息真实无误。如作虚假承诺，贵单位有权取消我方资格或解除合同，我方愿承担由此引发的一切法律责任。</w:t>
      </w:r>
    </w:p>
    <w:p w14:paraId="4706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010CA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2F6EF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2BF1F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6E3B5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2BBE91CC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</w:p>
    <w:p w14:paraId="437DDB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2027年度电工外包服务控制价报价单</w:t>
      </w:r>
    </w:p>
    <w:p w14:paraId="48650FD3">
      <w:pPr>
        <w:rPr>
          <w:rFonts w:hint="default"/>
          <w:color w:val="auto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3317"/>
        <w:gridCol w:w="1200"/>
        <w:gridCol w:w="1066"/>
        <w:gridCol w:w="2579"/>
      </w:tblGrid>
      <w:tr w14:paraId="3CD4D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95" w:type="dxa"/>
            <w:tcBorders>
              <w:tl2br w:val="nil"/>
              <w:tr2bl w:val="nil"/>
            </w:tcBorders>
            <w:vAlign w:val="center"/>
          </w:tcPr>
          <w:p w14:paraId="19B95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17" w:type="dxa"/>
            <w:tcBorders>
              <w:tl2br w:val="nil"/>
              <w:tr2bl w:val="nil"/>
            </w:tcBorders>
            <w:vAlign w:val="center"/>
          </w:tcPr>
          <w:p w14:paraId="1600B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2439D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CA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2579" w:type="dxa"/>
            <w:tcBorders>
              <w:tl2br w:val="nil"/>
              <w:tr2bl w:val="nil"/>
            </w:tcBorders>
            <w:vAlign w:val="center"/>
          </w:tcPr>
          <w:p w14:paraId="43733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</w:tr>
      <w:tr w14:paraId="4130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95" w:type="dxa"/>
            <w:tcBorders>
              <w:tl2br w:val="nil"/>
              <w:tr2bl w:val="nil"/>
            </w:tcBorders>
            <w:vAlign w:val="center"/>
          </w:tcPr>
          <w:p w14:paraId="1DE7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317" w:type="dxa"/>
            <w:tcBorders>
              <w:tl2br w:val="nil"/>
              <w:tr2bl w:val="nil"/>
            </w:tcBorders>
            <w:vAlign w:val="center"/>
          </w:tcPr>
          <w:p w14:paraId="01B6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2027年度电工外包服务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2D32F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C2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年</w:t>
            </w:r>
          </w:p>
        </w:tc>
        <w:tc>
          <w:tcPr>
            <w:tcW w:w="2579" w:type="dxa"/>
            <w:tcBorders>
              <w:tl2br w:val="nil"/>
              <w:tr2bl w:val="nil"/>
            </w:tcBorders>
            <w:vAlign w:val="center"/>
          </w:tcPr>
          <w:p w14:paraId="2EDB3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836513B">
      <w:pPr>
        <w:rPr>
          <w:rFonts w:hint="default"/>
          <w:color w:val="auto"/>
          <w:sz w:val="28"/>
          <w:szCs w:val="36"/>
          <w:lang w:val="en-US" w:eastAsia="zh-CN"/>
        </w:rPr>
      </w:pPr>
    </w:p>
    <w:p w14:paraId="638711FC">
      <w:pPr>
        <w:ind w:firstLine="643" w:firstLineChars="200"/>
        <w:rPr>
          <w:rFonts w:hint="eastAsia" w:ascii="方正仿宋简体" w:hAnsi="方正仿宋简体" w:eastAsia="方正仿宋简体" w:cs="方正仿宋简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t>备注：本次报价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为全费用包干报价，包含从业人员工资、服装费、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工具机具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、培训费、管理费、税费等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所有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费用，同时，按照国家相关规定购买社会保险，履约期间不因市场人力波动调整报价。</w:t>
      </w:r>
    </w:p>
    <w:p w14:paraId="6CD1C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2F316A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3132904C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1ACE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4E736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CC8C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法定代表人/授权代表签字：</w:t>
      </w:r>
    </w:p>
    <w:p w14:paraId="53FE725A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1EAE0666">
      <w:pPr>
        <w:jc w:val="center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2026年  月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 日</w:t>
      </w:r>
    </w:p>
    <w:p w14:paraId="2AEE81A4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28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27B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5864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25864A">
                    <w:pPr>
                      <w:pStyle w:val="4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0670D">
    <w:pPr>
      <w:pStyle w:val="5"/>
      <w:pBdr>
        <w:bottom w:val="none" w:color="auto" w:sz="0" w:space="0"/>
      </w:pBdr>
      <w:jc w:val="left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95FBF"/>
    <w:multiLevelType w:val="singleLevel"/>
    <w:tmpl w:val="C1F95F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675A3"/>
    <w:rsid w:val="794675A3"/>
    <w:rsid w:val="7D62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2026-10-08T09:33:00Z</dcterms:created>
  <dc:creator>啊</dc:creator>
  <cp:lastModifiedBy>啊</cp:lastModifiedBy>
  <dcterms:modified xsi:type="dcterms:W3CDTF">2026-10-08T09:35:40Z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B6CD5FDD0B3145BEBC3DA7A0CC5C84B6_13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