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65787">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简体" w:cs="Times New Roman"/>
          <w:b/>
          <w:bCs/>
          <w:color w:val="auto"/>
          <w:sz w:val="32"/>
          <w:szCs w:val="32"/>
          <w:highlight w:val="none"/>
          <w:lang w:val="en-US" w:eastAsia="zh-CN"/>
        </w:rPr>
      </w:pPr>
    </w:p>
    <w:p w14:paraId="4CF1F4D2">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附件1</w:t>
      </w:r>
    </w:p>
    <w:p w14:paraId="3D0EA4EB">
      <w:pPr>
        <w:pStyle w:val="14"/>
        <w:rPr>
          <w:rFonts w:hint="default" w:ascii="Times New Roman" w:hAnsi="Times New Roman" w:eastAsia="方正仿宋简体" w:cs="Times New Roman"/>
          <w:b/>
          <w:bCs/>
          <w:color w:val="auto"/>
          <w:sz w:val="32"/>
          <w:szCs w:val="32"/>
          <w:highlight w:val="none"/>
          <w:lang w:val="en-US" w:eastAsia="zh-CN"/>
        </w:rPr>
      </w:pPr>
    </w:p>
    <w:p w14:paraId="68ABF6A8">
      <w:pPr>
        <w:pStyle w:val="14"/>
        <w:keepNext w:val="0"/>
        <w:keepLines w:val="0"/>
        <w:pageBreakBefore w:val="0"/>
        <w:widowControl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购置心电监护仪等一批医用设备明细表</w:t>
      </w:r>
    </w:p>
    <w:p w14:paraId="6D209081">
      <w:pPr>
        <w:pStyle w:val="14"/>
        <w:keepNext w:val="0"/>
        <w:keepLines w:val="0"/>
        <w:pageBreakBefore w:val="0"/>
        <w:widowControl w:val="0"/>
        <w:kinsoku/>
        <w:wordWrap/>
        <w:overflowPunct/>
        <w:topLinePunct w:val="0"/>
        <w:bidi w:val="0"/>
        <w:spacing w:line="580" w:lineRule="exact"/>
        <w:jc w:val="center"/>
        <w:textAlignment w:val="auto"/>
        <w:rPr>
          <w:rFonts w:hint="default" w:ascii="方正小标宋简体" w:hAnsi="方正小标宋简体" w:eastAsia="方正小标宋简体" w:cs="方正小标宋简体"/>
          <w:b/>
          <w:bCs/>
          <w:color w:val="auto"/>
          <w:sz w:val="44"/>
          <w:szCs w:val="44"/>
          <w:lang w:val="en-US" w:eastAsia="zh-CN"/>
        </w:rPr>
      </w:pPr>
    </w:p>
    <w:tbl>
      <w:tblPr>
        <w:tblStyle w:val="10"/>
        <w:tblW w:w="9257" w:type="dxa"/>
        <w:jc w:val="center"/>
        <w:tblLayout w:type="autofit"/>
        <w:tblCellMar>
          <w:top w:w="0" w:type="dxa"/>
          <w:left w:w="108" w:type="dxa"/>
          <w:bottom w:w="0" w:type="dxa"/>
          <w:right w:w="108" w:type="dxa"/>
        </w:tblCellMar>
      </w:tblPr>
      <w:tblGrid>
        <w:gridCol w:w="752"/>
        <w:gridCol w:w="3001"/>
        <w:gridCol w:w="978"/>
        <w:gridCol w:w="2644"/>
        <w:gridCol w:w="1882"/>
      </w:tblGrid>
      <w:tr w14:paraId="2B4F193B">
        <w:tblPrEx>
          <w:tblCellMar>
            <w:top w:w="0" w:type="dxa"/>
            <w:left w:w="108" w:type="dxa"/>
            <w:bottom w:w="0" w:type="dxa"/>
            <w:right w:w="108" w:type="dxa"/>
          </w:tblCellMar>
        </w:tblPrEx>
        <w:trPr>
          <w:trHeight w:val="0" w:hRule="atLeast"/>
          <w:tblHeader/>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46838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序号</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718A344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设备名称</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A5EF8D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数量</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301FB29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预算</w:t>
            </w:r>
            <w:r>
              <w:rPr>
                <w:rFonts w:hint="default" w:ascii="Times New Roman" w:hAnsi="Times New Roman" w:eastAsia="方正仿宋简体" w:cs="Times New Roman"/>
                <w:b/>
                <w:bCs/>
                <w:color w:val="auto"/>
                <w:sz w:val="32"/>
                <w:szCs w:val="32"/>
                <w:lang w:val="en-US" w:eastAsia="zh-CN"/>
              </w:rPr>
              <w:t>单价</w:t>
            </w:r>
          </w:p>
          <w:p w14:paraId="015A716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（万元）</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5EA6D5D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合计</w:t>
            </w:r>
          </w:p>
          <w:p w14:paraId="3EF0BE1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（万元）</w:t>
            </w:r>
          </w:p>
        </w:tc>
      </w:tr>
      <w:tr w14:paraId="36FDA698">
        <w:tblPrEx>
          <w:tblCellMar>
            <w:top w:w="0" w:type="dxa"/>
            <w:left w:w="108" w:type="dxa"/>
            <w:bottom w:w="0" w:type="dxa"/>
            <w:right w:w="108" w:type="dxa"/>
          </w:tblCellMar>
        </w:tblPrEx>
        <w:trPr>
          <w:trHeight w:val="8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DEED79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2CD3DB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心电监护仪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C34633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7</w:t>
            </w:r>
            <w:r>
              <w:rPr>
                <w:rFonts w:hint="default" w:ascii="Times New Roman" w:hAnsi="Times New Roman" w:eastAsia="方正仿宋简体" w:cs="Times New Roman"/>
                <w:b/>
                <w:bCs/>
                <w:color w:val="auto"/>
                <w:sz w:val="32"/>
                <w:szCs w:val="32"/>
                <w:lang w:val="en-US" w:eastAsia="zh-CN"/>
              </w:rPr>
              <w:t>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59D3F6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1.1万/台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1174A3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7.7</w:t>
            </w:r>
          </w:p>
        </w:tc>
      </w:tr>
      <w:tr w14:paraId="178BD2BA">
        <w:tblPrEx>
          <w:tblCellMar>
            <w:top w:w="0" w:type="dxa"/>
            <w:left w:w="108" w:type="dxa"/>
            <w:bottom w:w="0" w:type="dxa"/>
            <w:right w:w="108" w:type="dxa"/>
          </w:tblCellMar>
        </w:tblPrEx>
        <w:trPr>
          <w:trHeight w:val="8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B4FD0E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69C8E7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输液泵（三类）</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7B74D9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23D983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0.6/台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00EB1A6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0.6</w:t>
            </w:r>
          </w:p>
        </w:tc>
      </w:tr>
      <w:tr w14:paraId="66634116">
        <w:tblPrEx>
          <w:tblCellMar>
            <w:top w:w="0" w:type="dxa"/>
            <w:left w:w="108" w:type="dxa"/>
            <w:bottom w:w="0" w:type="dxa"/>
            <w:right w:w="108" w:type="dxa"/>
          </w:tblCellMar>
        </w:tblPrEx>
        <w:trPr>
          <w:trHeight w:val="75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809740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02E233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输液泵（二类）</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6AABA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042CFD8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0.32万/台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003E816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0.32</w:t>
            </w:r>
          </w:p>
        </w:tc>
      </w:tr>
      <w:tr w14:paraId="10B36D49">
        <w:tblPrEx>
          <w:tblCellMar>
            <w:top w:w="0" w:type="dxa"/>
            <w:left w:w="108" w:type="dxa"/>
            <w:bottom w:w="0" w:type="dxa"/>
            <w:right w:w="108" w:type="dxa"/>
          </w:tblCellMar>
        </w:tblPrEx>
        <w:trPr>
          <w:trHeight w:val="73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683950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7C2C1D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移动空气消毒机</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AB5BC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2C90508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w:t>
            </w:r>
            <w:r>
              <w:rPr>
                <w:rFonts w:hint="eastAsia" w:ascii="Times New Roman" w:hAnsi="Times New Roman" w:eastAsia="方正仿宋简体" w:cs="Times New Roman"/>
                <w:b/>
                <w:bCs/>
                <w:color w:val="auto"/>
                <w:sz w:val="32"/>
                <w:szCs w:val="32"/>
                <w:lang w:val="en-US" w:eastAsia="zh-CN"/>
              </w:rPr>
              <w:t>7万/台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2111684E">
            <w:pPr>
              <w:keepNext w:val="0"/>
              <w:keepLines w:val="0"/>
              <w:pageBreakBefore w:val="0"/>
              <w:widowControl w:val="0"/>
              <w:tabs>
                <w:tab w:val="left" w:pos="742"/>
                <w:tab w:val="center" w:pos="1189"/>
              </w:tabs>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1.4</w:t>
            </w:r>
          </w:p>
        </w:tc>
      </w:tr>
      <w:tr w14:paraId="750B08F6">
        <w:tblPrEx>
          <w:tblCellMar>
            <w:top w:w="0" w:type="dxa"/>
            <w:left w:w="108" w:type="dxa"/>
            <w:bottom w:w="0" w:type="dxa"/>
            <w:right w:w="108" w:type="dxa"/>
          </w:tblCellMar>
        </w:tblPrEx>
        <w:trPr>
          <w:trHeight w:val="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55FB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225DD17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呼吸机</w:t>
            </w:r>
          </w:p>
          <w:p w14:paraId="52F1468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（有创无创一体机）</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466D6A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32BEA2F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7.8万/台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729D6AC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7.8</w:t>
            </w:r>
          </w:p>
        </w:tc>
      </w:tr>
      <w:tr w14:paraId="7B4812F3">
        <w:tblPrEx>
          <w:tblCellMar>
            <w:top w:w="0" w:type="dxa"/>
            <w:left w:w="108" w:type="dxa"/>
            <w:bottom w:w="0" w:type="dxa"/>
            <w:right w:w="108" w:type="dxa"/>
          </w:tblCellMar>
        </w:tblPrEx>
        <w:trPr>
          <w:trHeight w:val="7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E446E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1B06E31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除颤仪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678079C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7B74A8A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4DB129E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w:t>
            </w:r>
          </w:p>
        </w:tc>
      </w:tr>
      <w:tr w14:paraId="395AD56D">
        <w:tblPrEx>
          <w:tblCellMar>
            <w:top w:w="0" w:type="dxa"/>
            <w:left w:w="108" w:type="dxa"/>
            <w:bottom w:w="0" w:type="dxa"/>
            <w:right w:w="108" w:type="dxa"/>
          </w:tblCellMar>
        </w:tblPrEx>
        <w:trPr>
          <w:trHeight w:val="6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100A4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1CCD9E9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转运平车</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69D46B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0575152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w:t>
            </w:r>
            <w:r>
              <w:rPr>
                <w:rFonts w:hint="eastAsia" w:ascii="Times New Roman" w:hAnsi="Times New Roman" w:eastAsia="方正仿宋简体" w:cs="Times New Roman"/>
                <w:b/>
                <w:bCs/>
                <w:color w:val="auto"/>
                <w:sz w:val="32"/>
                <w:szCs w:val="32"/>
                <w:lang w:val="en-US" w:eastAsia="zh-CN"/>
              </w:rPr>
              <w:t>15万/台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46739FB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0.1</w:t>
            </w:r>
            <w:r>
              <w:rPr>
                <w:rFonts w:hint="eastAsia" w:ascii="Times New Roman" w:hAnsi="Times New Roman" w:eastAsia="方正仿宋简体" w:cs="Times New Roman"/>
                <w:b/>
                <w:bCs/>
                <w:color w:val="auto"/>
                <w:sz w:val="32"/>
                <w:szCs w:val="32"/>
                <w:lang w:val="en-US" w:eastAsia="zh-CN"/>
              </w:rPr>
              <w:t>5</w:t>
            </w:r>
          </w:p>
        </w:tc>
      </w:tr>
      <w:tr w14:paraId="16F0A150">
        <w:tblPrEx>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0EEA9C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8</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34364B9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护理车</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6ABD745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2E4A4FB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0.11万/台</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603184B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0.11</w:t>
            </w:r>
          </w:p>
        </w:tc>
      </w:tr>
      <w:tr w14:paraId="7A7D5466">
        <w:tblPrEx>
          <w:tblCellMar>
            <w:top w:w="0" w:type="dxa"/>
            <w:left w:w="108" w:type="dxa"/>
            <w:bottom w:w="0" w:type="dxa"/>
            <w:right w:w="108" w:type="dxa"/>
          </w:tblCellMar>
        </w:tblPrEx>
        <w:trPr>
          <w:trHeight w:val="1105" w:hRule="atLeast"/>
          <w:jc w:val="center"/>
        </w:trPr>
        <w:tc>
          <w:tcPr>
            <w:tcW w:w="3753" w:type="dxa"/>
            <w:gridSpan w:val="2"/>
            <w:tcBorders>
              <w:top w:val="single" w:color="000000" w:sz="4" w:space="0"/>
              <w:left w:val="single" w:color="000000" w:sz="4" w:space="0"/>
              <w:bottom w:val="single" w:color="000000" w:sz="4" w:space="0"/>
              <w:right w:val="single" w:color="000000" w:sz="4" w:space="0"/>
            </w:tcBorders>
            <w:noWrap w:val="0"/>
            <w:vAlign w:val="center"/>
          </w:tcPr>
          <w:p w14:paraId="0263DFD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合计</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2877A6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15</w:t>
            </w:r>
            <w:r>
              <w:rPr>
                <w:rFonts w:hint="eastAsia" w:ascii="Times New Roman" w:hAnsi="Times New Roman" w:eastAsia="方正仿宋简体" w:cs="Times New Roman"/>
                <w:b/>
                <w:bCs/>
                <w:color w:val="auto"/>
                <w:sz w:val="32"/>
                <w:szCs w:val="32"/>
                <w:lang w:val="en-US" w:eastAsia="zh-CN"/>
              </w:rPr>
              <w:t>台</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0CD5C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238258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21.08</w:t>
            </w:r>
          </w:p>
        </w:tc>
      </w:tr>
    </w:tbl>
    <w:p w14:paraId="6C809C22">
      <w:pPr>
        <w:pStyle w:val="14"/>
        <w:rPr>
          <w:rFonts w:hint="default" w:ascii="Times New Roman" w:hAnsi="Times New Roman" w:eastAsia="方正仿宋简体" w:cs="Times New Roman"/>
          <w:b/>
          <w:bCs/>
          <w:color w:val="auto"/>
          <w:sz w:val="32"/>
          <w:szCs w:val="32"/>
          <w:highlight w:val="none"/>
          <w:lang w:val="en-US" w:eastAsia="zh-CN"/>
        </w:rPr>
      </w:pPr>
    </w:p>
    <w:p w14:paraId="5E0D645E">
      <w:pPr>
        <w:rPr>
          <w:rFonts w:hint="default" w:ascii="Times New Roman" w:hAnsi="Times New Roman" w:eastAsia="方正仿宋简体" w:cs="Times New Roman"/>
          <w:b/>
          <w:bCs/>
          <w:color w:val="auto"/>
          <w:sz w:val="32"/>
          <w:szCs w:val="32"/>
          <w:highlight w:val="none"/>
          <w:lang w:val="en-US" w:eastAsia="zh-CN"/>
        </w:rPr>
      </w:pPr>
    </w:p>
    <w:p w14:paraId="6358256B">
      <w:pPr>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附件2</w:t>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6"/>
        <w:gridCol w:w="7296"/>
      </w:tblGrid>
      <w:tr w14:paraId="79B1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6B9E9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
                <w:bCs/>
                <w:color w:val="auto"/>
                <w:sz w:val="24"/>
                <w:szCs w:val="24"/>
                <w:lang w:val="en-US" w:eastAsia="zh-CN"/>
              </w:rPr>
            </w:pPr>
            <w:r>
              <w:rPr>
                <w:rFonts w:hint="eastAsia" w:ascii="方正仿宋简体" w:hAnsi="方正仿宋简体" w:eastAsia="方正仿宋简体" w:cs="方正仿宋简体"/>
                <w:b/>
                <w:bCs/>
                <w:color w:val="auto"/>
                <w:sz w:val="24"/>
                <w:szCs w:val="24"/>
                <w:lang w:val="en-US" w:eastAsia="zh-CN"/>
              </w:rPr>
              <w:t>设备名称</w:t>
            </w:r>
          </w:p>
        </w:tc>
        <w:tc>
          <w:tcPr>
            <w:tcW w:w="7296" w:type="dxa"/>
            <w:tcBorders>
              <w:top w:val="single" w:color="000000" w:sz="4" w:space="0"/>
              <w:left w:val="single" w:color="000000" w:sz="4" w:space="0"/>
              <w:bottom w:val="single" w:color="000000" w:sz="4" w:space="0"/>
              <w:right w:val="single" w:color="000000" w:sz="4" w:space="0"/>
            </w:tcBorders>
            <w:noWrap/>
            <w:vAlign w:val="center"/>
          </w:tcPr>
          <w:p w14:paraId="4A7ED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
                <w:bCs/>
                <w:color w:val="auto"/>
                <w:sz w:val="24"/>
                <w:szCs w:val="24"/>
                <w:lang w:val="en-US" w:eastAsia="zh-CN"/>
              </w:rPr>
            </w:pPr>
            <w:r>
              <w:rPr>
                <w:rFonts w:hint="eastAsia" w:ascii="方正仿宋简体" w:hAnsi="方正仿宋简体" w:eastAsia="方正仿宋简体" w:cs="方正仿宋简体"/>
                <w:b/>
                <w:bCs/>
                <w:color w:val="auto"/>
                <w:sz w:val="24"/>
                <w:szCs w:val="24"/>
                <w:lang w:val="en-US" w:eastAsia="zh-CN"/>
              </w:rPr>
              <w:t>设备主要参数</w:t>
            </w:r>
          </w:p>
        </w:tc>
      </w:tr>
      <w:tr w14:paraId="2C59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03D57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1.心电监护仪</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1596D9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便携一体式监护仪,整机无风扇设计，降低环境噪音干扰。</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2.≥10英寸电容触摸屏，分辨率≥1024*600，≥7通道波形显示。</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3.标配锂电池，工作时间≥4.5小时。</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4.监护仪主机工作温度环境范围：0~40°C。</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5.监护仪清洁消毒维护支持的消毒剂≥7种。</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6.标准配置可监测心电，呼吸，无创血压，血氧饱和度，脉搏和体温，适用于成人、小儿和新生儿。</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7.支持升级提供过去24小时心电概览报告查看与打印，包括心率统计结果，起搏统计结果，心律失常统计结果，ST统计和QT/QTc统计结果。</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8.提供SpO2和PR的实时监测，适用于成人，小儿和新生儿。来自SpO2的PR测量范围：20-300。</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9.提供手动，自动，连续、序列和整点测量模式。</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10.配置无创血压测量，适用于成人，小儿和新生儿。无创血压成人测量范围：收缩压25~290mmH。</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11.提供呼吸测量，适用于成人、小儿和新生儿。呼吸测量范围：1-200rmp；</w:t>
            </w:r>
          </w:p>
          <w:p w14:paraId="369C87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12.支持≥3500组无创血压测量记录；</w:t>
            </w:r>
          </w:p>
          <w:p w14:paraId="506C81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trike/>
                <w:dstrike w:val="0"/>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13.具备监护模式、待机模式，演示模式和夜间模式；</w:t>
            </w:r>
          </w:p>
          <w:p w14:paraId="1441B5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14.支持与同品牌除颤监护仪，遥测混合联通至中心监护系统，实现护士站的集中管理；</w:t>
            </w:r>
          </w:p>
          <w:p w14:paraId="32EE21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15.主机集成附件收纳箱，支持将心电、血氧和无创血压等导联线附件进行收纳放置，方便监护仪设备的高效管理和转移。</w:t>
            </w:r>
          </w:p>
          <w:p w14:paraId="02AB43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16.具备血流动力学计算或监测功能，并可输出舒张末期容量指数；</w:t>
            </w:r>
          </w:p>
          <w:p w14:paraId="6F9569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17.具备氧合计算功能，并可输出动脉氧含量；</w:t>
            </w:r>
          </w:p>
          <w:p w14:paraId="45749A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p>
        </w:tc>
      </w:tr>
      <w:tr w14:paraId="08B0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5108E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2.输液泵</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6811E1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1.输液泵需通过国家药品监督管理局三类注册证。</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2.整机使用期限≥10年。</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3.整机重量≤1.5kg。</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4.输液精度≤±4.5%。</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5.输液速度范围：0.1-2300ml/h,且最小步进为0.01ml/h。</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6.快推速度范围：0.1-2300ml/h,且最小步进为0.01ml/h。</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7.主机具备输液停止键硬按键。</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8.支持输液模式：速度模式、时间模式、体重模式、梯度模式、序列模式、剂量时间模式、和间断给药模式、点滴模式</w:t>
            </w:r>
            <w:r>
              <w:rPr>
                <w:rFonts w:hint="eastAsia" w:ascii="Times New Roman" w:hAnsi="Times New Roman" w:eastAsia="方正仿宋简体" w:cs="Times New Roman"/>
                <w:b/>
                <w:bCs/>
                <w:color w:val="auto"/>
                <w:sz w:val="24"/>
                <w:szCs w:val="24"/>
                <w:lang w:val="en-US" w:eastAsia="zh-CN"/>
              </w:rPr>
              <w:t>等</w:t>
            </w:r>
            <w:r>
              <w:rPr>
                <w:rFonts w:hint="default" w:ascii="Times New Roman" w:hAnsi="Times New Roman" w:eastAsia="方正仿宋简体" w:cs="Times New Roman"/>
                <w:b/>
                <w:bCs/>
                <w:color w:val="auto"/>
                <w:sz w:val="24"/>
                <w:szCs w:val="24"/>
                <w:lang w:val="en-US" w:eastAsia="zh-CN"/>
              </w:rPr>
              <w:t>；具备联机功能。</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9.≥3.5英寸彩色显示屏，电容触摸屏技术。</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10.具备气泡报警功能，支持最小15μL的单个气泡报警。</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11.支持药物色彩标识，选择不同类型药物时对应的药物色彩标识自动显示在屏幕上，支持≥20种颜色。</w:t>
            </w:r>
            <w:r>
              <w:rPr>
                <w:rFonts w:hint="default" w:ascii="Times New Roman" w:hAnsi="Times New Roman" w:eastAsia="方正仿宋简体" w:cs="Times New Roman"/>
                <w:b/>
                <w:bCs/>
                <w:color w:val="auto"/>
                <w:sz w:val="24"/>
                <w:szCs w:val="24"/>
                <w:lang w:val="en-US" w:eastAsia="zh-CN"/>
              </w:rPr>
              <w:br w:type="textWrapping"/>
            </w:r>
          </w:p>
        </w:tc>
      </w:tr>
      <w:tr w14:paraId="01CD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268BE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3.输液泵</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030DF9C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1.适配管路：标准/专用输液器（20/60滴/ml，管径3.4~4.5mm）。</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2.流速：常规0.1~1500ml/h；新生儿0.1~50ml/h，步长0.1ml/h；精度≤±5%。</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3.容量设置：总量0.1~99999.9ml，新生儿限量0.1~100ml；累计0~99999.9ml。</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4.时长/辅助流速：定时1min~99h59min；快排：20滴900ml/h、60滴150ml/h；KVO 0.1~5ml/h可调，运行中可改参数。</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5.监测防护：双超声气泡+双压力传感；气泡≥25μl可检，25~300μl十档灵敏度，15min积泡500μl报警；下堵40~130KPa十档可调，上压可开关。</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6.报警与操控：多类故障全报警，按键/报警音量十档可调；实体数字按键，可查输液日志。</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7.电气：AC100-240V；内置10.8V锂电，≤25ml/h续航≥7h，电量实时显示。</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8.环境与规格：工作5~40℃，储运-20~55℃；IP33。</w:t>
            </w:r>
          </w:p>
        </w:tc>
      </w:tr>
      <w:tr w14:paraId="287D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F6367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4.移动空气消毒机</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5F4C84F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1.消毒因子：等离子体。</w:t>
            </w:r>
          </w:p>
          <w:p w14:paraId="3D4E05F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2.特定适用空间体积≤100㎥。</w:t>
            </w:r>
          </w:p>
          <w:p w14:paraId="43C11C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3.安装方式：移动式，无需安装。</w:t>
            </w:r>
          </w:p>
          <w:p w14:paraId="2D93220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4.整机额定输入功率≤80W，工作电源环境：220V±22V  50Hz±1Hz 。</w:t>
            </w:r>
          </w:p>
          <w:p w14:paraId="0DAB6A0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5.循环风量≥800m3/h。</w:t>
            </w:r>
          </w:p>
          <w:p w14:paraId="48E1FF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strike/>
                <w:dstrike w:val="0"/>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6.360°环形出风，外尺寸≤外径450mm×高980mm。7.等离子体密度分布≥2.65X1018m-3。</w:t>
            </w:r>
          </w:p>
          <w:p w14:paraId="40565F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8.臭氧泄漏量≤0.003mg/m3。</w:t>
            </w:r>
          </w:p>
          <w:p w14:paraId="451CD21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9.等离子体空气消毒机内部不得装有中、高效过滤器和紫外线杀菌灯，符合WS/T 648-2019《空气消毒机通用卫生要求》第6.4.2条。</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10.设备电源安全性：保护接地阻抗≤0.06Ω。</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11.设备对白色葡萄球菌（8032）进行60Min消毒作业后的杀灭率≥99.94%。</w:t>
            </w:r>
          </w:p>
          <w:p w14:paraId="2A1DD2F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12.设备对白色葡萄球菌（8032）进行60Min消毒作业后的菌数＜80（cfu/m3）。</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14.设备对毒株A/PR8/34进行60min消毒作业后去除率≥99.9%。</w:t>
            </w:r>
            <w:r>
              <w:rPr>
                <w:rFonts w:hint="default" w:ascii="Times New Roman" w:hAnsi="Times New Roman" w:eastAsia="方正仿宋简体" w:cs="Times New Roman"/>
                <w:b/>
                <w:bCs/>
                <w:strike/>
                <w:dstrike w:val="0"/>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15.设备对肺炎克雷伯氏菌进行60min消毒作业后去除率≥99.99%。</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16.设备对冠状病毒进行60min消毒作业后去除率≥99.99%。</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17.运行时可显示工作模式、消毒剩余时间、风速、湿度、温度等信息。</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18.具有滤网过期、风机故障、等离子故障提示。</w:t>
            </w:r>
          </w:p>
        </w:tc>
      </w:tr>
      <w:tr w14:paraId="2140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44544E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5.呼吸机（有创无创一体机）</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5FBEBD2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适用范围：成人、儿童。</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2</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设置方式：在一体化屏幕中进行参数设置与信息监测等操作。</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3</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显示方式：≥12.1寸，一体化触摸屏，不含数码管数字显示与操作窗，不含外接扩展显示屏。</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4</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后备电源：具有内置后备电池。</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5</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具有VGA等数据输出功能，具有同步雾化功能，具有手动、吸气保持等临床干预功能，具有大气压自动校正功能。</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6</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通气方式：定容通气、定压通气。</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7</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通气模式：VCV、PCV、PSV、SIMV、PRVC、</w:t>
            </w:r>
            <w:r>
              <w:rPr>
                <w:rFonts w:hint="default" w:ascii="Times New Roman" w:hAnsi="Times New Roman" w:eastAsia="方正仿宋简体" w:cs="Times New Roman"/>
                <w:b/>
                <w:bCs/>
                <w:strike/>
                <w:dstrike w:val="0"/>
                <w:color w:val="auto"/>
                <w:sz w:val="24"/>
                <w:szCs w:val="24"/>
                <w:lang w:val="en-US" w:eastAsia="zh-CN"/>
              </w:rPr>
              <w:t>SPONT</w:t>
            </w:r>
            <w:r>
              <w:rPr>
                <w:rFonts w:hint="default" w:ascii="Times New Roman" w:hAnsi="Times New Roman" w:eastAsia="方正仿宋简体" w:cs="Times New Roman"/>
                <w:b/>
                <w:bCs/>
                <w:color w:val="auto"/>
                <w:sz w:val="24"/>
                <w:szCs w:val="24"/>
                <w:lang w:val="en-US" w:eastAsia="zh-CN"/>
              </w:rPr>
              <w:t>、NIV、BIVENT。</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8</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潮气量： 20ml～2500ml吸气压力(Pinsp): 5-60 cmH2O支持压力(Psupp)：0-60 cmH2O呼吸频率：4～100bpm呼吸频率 (f)SIMV： 1-40/min。</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9</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吸入氧浓度： 21%~100%吸气时间：0.1-10s吸气屏气时间： 0~4s。</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10</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吸入潮气量、呼出潮气量、总计呼吸频率、自主呼吸频率、分钟通气量、气道峰值压力、气道平均压力、气道平台压、呼吸末正压、氧浓度，吸呼比。</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11</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肺功能力学监测：肺顺应性（静态）、气道阻力、Auto－PEEP、浅快呼吸指数。</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12</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监测波形：流量波形、压力波形、容量波形压力容量环、流速容量环。</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13</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报警参数：氧气不足、空气不足、分钟通气量上限、分钟通气量下限、呼气潮气量超限、自主呼吸频率超限、气道压力上限、气道压力下限、窒息、交流电源断电、氧浓度上限、氧浓度下限、电池电量低、持续气道压高、吸气保持中断，呼气保持中断，回路断开，具有报警回顾功能。</w:t>
            </w:r>
          </w:p>
        </w:tc>
      </w:tr>
      <w:tr w14:paraId="7070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CA008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6.除颤仪</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5DD5EF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重量：≤6.1kg（含电极板）。</w:t>
            </w:r>
          </w:p>
          <w:p w14:paraId="588D96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彩色TFT显示屏≥7英寸、支持中文操作界面</w:t>
            </w:r>
          </w:p>
          <w:p w14:paraId="1E386C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3</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具备手动除颤、心电监护、呼吸监护、自动体外除颤（AED）功能，AED功能适用于29天及以上人群。</w:t>
            </w:r>
          </w:p>
          <w:p w14:paraId="2E8558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4</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手动除颤分为同步和异步两种方式，能量选择≥20档，可通过体外电极板进行能量选择，最大能量可达360J。</w:t>
            </w:r>
          </w:p>
          <w:p w14:paraId="7C42BC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5</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支持至少三种尺寸体内除颤电极板，适用不同病人类型。</w:t>
            </w:r>
          </w:p>
          <w:p w14:paraId="681C81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6</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电极板支持能量选择，充电和放电三步操作，满足单人除颤操作。</w:t>
            </w:r>
          </w:p>
          <w:p w14:paraId="092DAF9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7</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除颤充电迅速，充电至200J≤4s。</w:t>
            </w:r>
          </w:p>
          <w:p w14:paraId="433C513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8</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除颤后心电基线恢复时间≤3s。</w:t>
            </w:r>
          </w:p>
          <w:p w14:paraId="54E48A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9</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外电极板支持病人接触状态显示。</w:t>
            </w:r>
          </w:p>
          <w:p w14:paraId="6B717C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10</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通过心电电极片可监测的心律失常分析种类不少于20种。</w:t>
            </w:r>
          </w:p>
          <w:p w14:paraId="2F79613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11</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具备抗跌落性能，可承受6面0.75m跌落冲击。</w:t>
            </w:r>
          </w:p>
          <w:p w14:paraId="272520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p>
        </w:tc>
      </w:tr>
      <w:tr w14:paraId="06ED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DAFF2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7.转运平车</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7436081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规格尺寸：长≥1900*宽≥600*高≥705mm；</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2</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车架床面条材料采用1.0mm不锈钢冷轧板制作，表面经过抗指纹磨砂处理。</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3</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上架台面采用φ25×1.2不锈钢焊管经过专用设备弯成型，采用圆弧过渡，连接管采用不锈钢矩管。</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4</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下架所用连接板都为3.0mm不锈钢冷轧板，长脚腿采用φ32×1.2不锈钢焊管，加强弯都经过设备弯成型。</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5</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车带四只带刹φ125脚轮，推动时脚轮转动灵活、无卡塞现象,制锁可靠。</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6</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车分上下架，上架为活动移动架；下架为车架，下架对角配有输液架插孔。</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7</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下架两侧带有旋转护栏，护栏锁紧机构可靠。</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8</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 xml:space="preserve">推车垫子内面采用泡沫，外表采用人造革面。 </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9</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配置：不锈钢输液架</w:t>
            </w:r>
          </w:p>
        </w:tc>
      </w:tr>
      <w:tr w14:paraId="4A87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5D2C8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8.护理车</w:t>
            </w:r>
          </w:p>
        </w:tc>
        <w:tc>
          <w:tcPr>
            <w:tcW w:w="7296" w:type="dxa"/>
            <w:tcBorders>
              <w:top w:val="single" w:color="000000" w:sz="4" w:space="0"/>
              <w:left w:val="single" w:color="000000" w:sz="4" w:space="0"/>
              <w:bottom w:val="single" w:color="000000" w:sz="4" w:space="0"/>
              <w:right w:val="single" w:color="000000" w:sz="4" w:space="0"/>
            </w:tcBorders>
            <w:noWrap w:val="0"/>
            <w:vAlign w:val="center"/>
          </w:tcPr>
          <w:p w14:paraId="5FD339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1.规格尺寸：L900*W500*H820mm</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2.整体采用1.0mm不锈钢板压折而成。</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3.立柱采用不锈钢圆管经专业设备折弯加工而成。</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4.整体采用框构架。</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5.不锈钢污物车侧配超大容量污物袋一个，具有防水功能。</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6.底层焊接托架，便于放重大的污物，每层都设有三方围栏，能有效阻挡在推动过程中物品的滑出。</w:t>
            </w:r>
            <w:r>
              <w:rPr>
                <w:rFonts w:hint="default" w:ascii="Times New Roman" w:hAnsi="Times New Roman" w:eastAsia="方正仿宋简体" w:cs="Times New Roman"/>
                <w:b/>
                <w:bCs/>
                <w:color w:val="auto"/>
                <w:sz w:val="24"/>
                <w:szCs w:val="24"/>
                <w:lang w:val="en-US" w:eastAsia="zh-CN"/>
              </w:rPr>
              <w:br w:type="textWrapping"/>
            </w:r>
            <w:r>
              <w:rPr>
                <w:rFonts w:hint="default" w:ascii="Times New Roman" w:hAnsi="Times New Roman" w:eastAsia="方正仿宋简体" w:cs="Times New Roman"/>
                <w:b/>
                <w:bCs/>
                <w:color w:val="auto"/>
                <w:sz w:val="24"/>
                <w:szCs w:val="24"/>
                <w:lang w:val="en-US" w:eastAsia="zh-CN"/>
              </w:rPr>
              <w:t>7.底部配有4只静音脚轮，静音高耐磨，其中两只配有刹车装置。</w:t>
            </w:r>
          </w:p>
        </w:tc>
      </w:tr>
    </w:tbl>
    <w:p w14:paraId="253D7A39">
      <w:pPr>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br w:type="page"/>
      </w: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bookmarkStart w:id="0" w:name="_GoBack"/>
      <w:bookmarkEnd w:id="0"/>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auto"/>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威远县紧密型县域医共体管理委员会</w:t>
      </w:r>
      <w:r>
        <w:rPr>
          <w:rFonts w:hint="eastAsia" w:ascii="方正仿宋简体" w:hAnsi="方正仿宋简体" w:eastAsia="方正仿宋简体" w:cs="方正仿宋简体"/>
          <w:b/>
          <w:bCs/>
          <w:color w:val="auto"/>
          <w:kern w:val="2"/>
          <w:sz w:val="32"/>
          <w:szCs w:val="32"/>
          <w:highlight w:val="none"/>
          <w:u w:val="none"/>
          <w:lang w:val="en-US" w:eastAsia="zh-CN" w:bidi="ar-SA"/>
        </w:rPr>
        <w:t>关于严陵镇卫生院购置心电监护仪等一批医疗设备</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auto"/>
          <w:kern w:val="2"/>
          <w:sz w:val="32"/>
          <w:szCs w:val="32"/>
          <w:highlight w:val="none"/>
          <w:u w:val="none"/>
          <w:lang w:val="en-US" w:eastAsia="zh-CN" w:bidi="ar-SA"/>
        </w:rPr>
        <w:t>的调研活动，现承诺我公司在参加本次市场调研前的信用记录未列入失信执行人名单、重大税收违法案件当事人名单，无政府采购严重违法失信等行为。</w:t>
      </w: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259478C3">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4</w:t>
      </w:r>
    </w:p>
    <w:p w14:paraId="012F2D04">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59E520A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C5744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000CD477">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25BA3C33">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41AC27FD">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4307EBF5">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7566B73E">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0874700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6C966F31">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1322F0E3">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36383609">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color w:val="auto"/>
          <w:sz w:val="32"/>
          <w:szCs w:val="32"/>
          <w:highlight w:val="none"/>
          <w:lang w:val="en-US" w:eastAsia="zh-CN"/>
        </w:rPr>
      </w:pPr>
    </w:p>
    <w:p w14:paraId="29341B5B">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20ED7BBD">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44F7B95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color w:val="auto"/>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sectPr>
      <w:headerReference r:id="rId3" w:type="default"/>
      <w:footerReference r:id="rId4" w:type="default"/>
      <w:pgSz w:w="11906" w:h="16838"/>
      <w:pgMar w:top="2098" w:right="1531" w:bottom="1928"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98077041-9909-40F2-AD8A-2728CB11BA88}"/>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5B5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6261">
    <w:pPr>
      <w:pStyle w:val="7"/>
      <w:pBdr>
        <w:bottom w:val="none" w:color="auto" w:sz="0" w:space="0"/>
      </w:pBdr>
      <w:jc w:val="left"/>
      <w:rPr>
        <w:rFonts w:hint="default" w:eastAsia="宋体"/>
        <w:lang w:val="en-US" w:eastAsia="zh-CN"/>
      </w:rPr>
    </w:pPr>
  </w:p>
  <w:p w14:paraId="44920CA2">
    <w:pPr>
      <w:pStyle w:val="7"/>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5CD2"/>
    <w:rsid w:val="030E7E36"/>
    <w:rsid w:val="04450C95"/>
    <w:rsid w:val="065375A9"/>
    <w:rsid w:val="118F153F"/>
    <w:rsid w:val="12CF2AF3"/>
    <w:rsid w:val="17462F5F"/>
    <w:rsid w:val="17A54DB5"/>
    <w:rsid w:val="1874130F"/>
    <w:rsid w:val="18890233"/>
    <w:rsid w:val="1CE82D00"/>
    <w:rsid w:val="1D9D50BD"/>
    <w:rsid w:val="2412762D"/>
    <w:rsid w:val="250D7AF6"/>
    <w:rsid w:val="2A1536D4"/>
    <w:rsid w:val="2C735947"/>
    <w:rsid w:val="2C7F3302"/>
    <w:rsid w:val="2FE94630"/>
    <w:rsid w:val="32966FD0"/>
    <w:rsid w:val="333C2368"/>
    <w:rsid w:val="343A7CC6"/>
    <w:rsid w:val="37FC58DA"/>
    <w:rsid w:val="3B452CFE"/>
    <w:rsid w:val="44FA0AB6"/>
    <w:rsid w:val="47F27F92"/>
    <w:rsid w:val="497F43CC"/>
    <w:rsid w:val="4F3B1580"/>
    <w:rsid w:val="50A0449B"/>
    <w:rsid w:val="549D6CE0"/>
    <w:rsid w:val="557641F8"/>
    <w:rsid w:val="5855726E"/>
    <w:rsid w:val="5B6D418B"/>
    <w:rsid w:val="61C320EA"/>
    <w:rsid w:val="63853C0A"/>
    <w:rsid w:val="6B1D60A9"/>
    <w:rsid w:val="6C447908"/>
    <w:rsid w:val="6F2614AD"/>
    <w:rsid w:val="70201EED"/>
    <w:rsid w:val="72A035C7"/>
    <w:rsid w:val="72F53670"/>
    <w:rsid w:val="77D0340E"/>
    <w:rsid w:val="7A353069"/>
    <w:rsid w:val="7D3D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rPr>
      <w:rFonts w:ascii="Times New Roman"/>
      <w:kern w:val="2"/>
      <w:sz w:val="21"/>
      <w:szCs w:val="24"/>
    </w:rPr>
  </w:style>
  <w:style w:type="paragraph" w:customStyle="1" w:styleId="4">
    <w:name w:val="Index 81"/>
    <w:basedOn w:val="1"/>
    <w:next w:val="1"/>
    <w:qFormat/>
    <w:uiPriority w:val="0"/>
    <w:pPr>
      <w:ind w:left="1400" w:leftChars="1400"/>
    </w:pPr>
  </w:style>
  <w:style w:type="paragraph" w:styleId="5">
    <w:name w:val="Body Text Indent"/>
    <w:basedOn w:val="1"/>
    <w:qFormat/>
    <w:uiPriority w:val="0"/>
    <w:pPr>
      <w:ind w:firstLine="630"/>
    </w:pPr>
    <w:rPr>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left="20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16">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17">
    <w:name w:val="List Paragraph"/>
    <w:basedOn w:val="1"/>
    <w:qFormat/>
    <w:uiPriority w:val="0"/>
    <w:pPr>
      <w:ind w:firstLine="420" w:firstLineChars="200"/>
    </w:pPr>
  </w:style>
  <w:style w:type="character" w:customStyle="1" w:styleId="18">
    <w:name w:val="font11"/>
    <w:basedOn w:val="12"/>
    <w:qFormat/>
    <w:uiPriority w:val="0"/>
    <w:rPr>
      <w:rFonts w:hint="default" w:ascii="Times New Roman" w:hAnsi="Times New Roman" w:cs="Times New Roman"/>
      <w:color w:val="00000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52977ec6-68e4-499e-9197-74f502dbc585</errorID>
      <errorWord>;</errorWord>
      <group>L1_Format</group>
      <groupName>格式问题</groupName>
      <ability>L2_HalfPunc</ability>
      <abilityName>全半角检查</abilityName>
      <candidateList>
        <item>；</item>
      </candidateList>
      <explain>文本全半角错误。</explain>
      <paraID> CB7B5C2</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15bd9-559c-4b4a-a005-33c9f0092299}">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4714</Words>
  <Characters>5685</Characters>
  <Lines>0</Lines>
  <Paragraphs>0</Paragraphs>
  <TotalTime>7</TotalTime>
  <ScaleCrop>false</ScaleCrop>
  <LinksUpToDate>false</LinksUpToDate>
  <CharactersWithSpaces>5856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啊</cp:lastModifiedBy>
  <cp:lastPrinted>2026-06-15T02:51:00Z</cp:lastPrinted>
  <dcterms:modified xsi:type="dcterms:W3CDTF">2026-06-18T06:41:02Z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eyJoZGlkIjoiYzk3NzUyNTgyOGIyYzM4ODYyNTUxMThlNDc3MjE5YzgiLCJ1c2VySWQiOiI0NTg5NTQ3MDQifQ==</vt:lpwstr>
  </property>
  <property fmtid="{D5CDD505-2E9C-101B-9397-08002B2CF9AE}" pid="4" name="ICV">
    <vt:lpwstr>97A9AFDD7C4A4987A3ECCD50DE1AFD95_13</vt:lpwstr>
  </property>
</Properties>
</file>